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69037" w14:textId="77777777" w:rsidR="00FD04AE" w:rsidRDefault="00FD04AE">
      <w:pPr>
        <w:pStyle w:val="Textoindependiente"/>
        <w:spacing w:before="4"/>
        <w:rPr>
          <w:rFonts w:ascii="Times New Roman"/>
          <w:sz w:val="17"/>
        </w:rPr>
      </w:pPr>
    </w:p>
    <w:p w14:paraId="18C73984" w14:textId="77777777" w:rsidR="00FD04AE" w:rsidRDefault="002A213D">
      <w:pPr>
        <w:pStyle w:val="Textoindependiente"/>
        <w:ind w:left="66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 w:bidi="ar-SA"/>
        </w:rPr>
        <w:drawing>
          <wp:inline distT="0" distB="0" distL="0" distR="0" wp14:anchorId="278E2AD2" wp14:editId="140D8DE9">
            <wp:extent cx="1324756" cy="11978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756" cy="119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644E3" w14:textId="77777777" w:rsidR="00FD04AE" w:rsidRDefault="00FD04AE">
      <w:pPr>
        <w:pStyle w:val="Textoindependiente"/>
        <w:rPr>
          <w:rFonts w:ascii="Times New Roman"/>
          <w:sz w:val="20"/>
        </w:rPr>
      </w:pPr>
    </w:p>
    <w:p w14:paraId="5BBD7A53" w14:textId="77777777" w:rsidR="00FD04AE" w:rsidRDefault="00FD04AE">
      <w:pPr>
        <w:pStyle w:val="Textoindependiente"/>
        <w:rPr>
          <w:rFonts w:ascii="Times New Roman"/>
          <w:sz w:val="20"/>
        </w:rPr>
      </w:pPr>
    </w:p>
    <w:p w14:paraId="0F0AB565" w14:textId="77777777" w:rsidR="00FD04AE" w:rsidRDefault="00FD04AE">
      <w:pPr>
        <w:pStyle w:val="Textoindependiente"/>
        <w:rPr>
          <w:rFonts w:ascii="Times New Roman"/>
          <w:sz w:val="20"/>
        </w:rPr>
      </w:pPr>
    </w:p>
    <w:p w14:paraId="28DDA51B" w14:textId="77777777" w:rsidR="00FD04AE" w:rsidRDefault="00FD04AE">
      <w:pPr>
        <w:pStyle w:val="Textoindependiente"/>
        <w:rPr>
          <w:rFonts w:ascii="Times New Roman"/>
          <w:sz w:val="20"/>
        </w:rPr>
      </w:pPr>
    </w:p>
    <w:p w14:paraId="5A13C63D" w14:textId="77777777" w:rsidR="00FD04AE" w:rsidRDefault="00FD04AE">
      <w:pPr>
        <w:pStyle w:val="Textoindependiente"/>
        <w:rPr>
          <w:rFonts w:ascii="Times New Roman"/>
          <w:sz w:val="20"/>
        </w:rPr>
      </w:pPr>
    </w:p>
    <w:p w14:paraId="43A8EC4D" w14:textId="77777777" w:rsidR="00FD04AE" w:rsidRDefault="00FD04AE">
      <w:pPr>
        <w:pStyle w:val="Textoindependiente"/>
        <w:rPr>
          <w:rFonts w:ascii="Times New Roman"/>
          <w:sz w:val="20"/>
        </w:rPr>
      </w:pPr>
    </w:p>
    <w:p w14:paraId="427E0D28" w14:textId="77777777" w:rsidR="00FD04AE" w:rsidRDefault="00FD04AE">
      <w:pPr>
        <w:pStyle w:val="Textoindependiente"/>
        <w:rPr>
          <w:rFonts w:ascii="Times New Roman"/>
          <w:sz w:val="20"/>
        </w:rPr>
      </w:pPr>
    </w:p>
    <w:p w14:paraId="78CB806F" w14:textId="77777777" w:rsidR="00FD04AE" w:rsidRDefault="00FD04AE">
      <w:pPr>
        <w:pStyle w:val="Textoindependiente"/>
        <w:rPr>
          <w:rFonts w:ascii="Times New Roman"/>
          <w:sz w:val="20"/>
        </w:rPr>
      </w:pPr>
    </w:p>
    <w:p w14:paraId="320B186A" w14:textId="77777777" w:rsidR="00FD04AE" w:rsidRDefault="00FD04AE">
      <w:pPr>
        <w:pStyle w:val="Textoindependiente"/>
        <w:rPr>
          <w:rFonts w:ascii="Times New Roman"/>
          <w:sz w:val="20"/>
        </w:rPr>
      </w:pPr>
    </w:p>
    <w:p w14:paraId="6EB4582C" w14:textId="77777777" w:rsidR="00FD04AE" w:rsidRDefault="00FD04AE">
      <w:pPr>
        <w:pStyle w:val="Textoindependiente"/>
        <w:rPr>
          <w:rFonts w:ascii="Times New Roman"/>
          <w:sz w:val="20"/>
        </w:rPr>
      </w:pPr>
    </w:p>
    <w:p w14:paraId="17A77CA2" w14:textId="77777777" w:rsidR="00FD04AE" w:rsidRDefault="00FD04AE">
      <w:pPr>
        <w:pStyle w:val="Textoindependiente"/>
        <w:spacing w:before="9"/>
        <w:rPr>
          <w:rFonts w:ascii="Times New Roman"/>
          <w:sz w:val="27"/>
        </w:rPr>
      </w:pPr>
    </w:p>
    <w:p w14:paraId="33E3FCD7" w14:textId="4CD26681" w:rsidR="00FD04AE" w:rsidRDefault="009D6CE7" w:rsidP="009D6CE7">
      <w:pPr>
        <w:pStyle w:val="Textoindependiente"/>
        <w:spacing w:before="11"/>
        <w:ind w:left="1151" w:firstLine="720"/>
        <w:rPr>
          <w:rStyle w:val="Textoennegrita"/>
          <w:rFonts w:cs="Arial"/>
          <w:sz w:val="32"/>
          <w:szCs w:val="32"/>
        </w:rPr>
      </w:pPr>
      <w:r w:rsidRPr="00DA133C">
        <w:rPr>
          <w:rStyle w:val="Textoennegrita"/>
          <w:rFonts w:cs="Arial"/>
          <w:sz w:val="32"/>
          <w:szCs w:val="32"/>
        </w:rPr>
        <w:t>Informe Ejecutivo</w:t>
      </w:r>
      <w:r>
        <w:rPr>
          <w:rStyle w:val="Textoennegrita"/>
          <w:rFonts w:cs="Arial"/>
          <w:sz w:val="32"/>
          <w:szCs w:val="32"/>
        </w:rPr>
        <w:t xml:space="preserve"> Parcial </w:t>
      </w:r>
      <w:r w:rsidR="00CF56AD">
        <w:rPr>
          <w:rStyle w:val="Textoennegrita"/>
          <w:rFonts w:cs="Arial"/>
          <w:sz w:val="32"/>
          <w:szCs w:val="32"/>
        </w:rPr>
        <w:t>2</w:t>
      </w:r>
    </w:p>
    <w:p w14:paraId="486BFDEF" w14:textId="77777777" w:rsidR="009D6CE7" w:rsidRDefault="009D6CE7" w:rsidP="009D6CE7">
      <w:pPr>
        <w:pStyle w:val="Textoindependiente"/>
        <w:spacing w:before="11"/>
        <w:ind w:left="1151" w:firstLine="720"/>
        <w:rPr>
          <w:b/>
          <w:sz w:val="35"/>
        </w:rPr>
      </w:pPr>
    </w:p>
    <w:p w14:paraId="4C679B66" w14:textId="0427486A" w:rsidR="00FD04AE" w:rsidRPr="009D6CE7" w:rsidRDefault="002A213D" w:rsidP="009D6CE7">
      <w:pPr>
        <w:ind w:left="1871"/>
        <w:jc w:val="both"/>
        <w:rPr>
          <w:sz w:val="44"/>
          <w:szCs w:val="44"/>
        </w:rPr>
      </w:pPr>
      <w:r w:rsidRPr="009D6CE7">
        <w:rPr>
          <w:sz w:val="44"/>
          <w:szCs w:val="44"/>
        </w:rPr>
        <w:t>Producción de Vinos 20</w:t>
      </w:r>
      <w:r w:rsidR="00683132" w:rsidRPr="009D6CE7">
        <w:rPr>
          <w:sz w:val="44"/>
          <w:szCs w:val="44"/>
        </w:rPr>
        <w:t>2</w:t>
      </w:r>
      <w:r w:rsidR="00B576B6" w:rsidRPr="009D6CE7">
        <w:rPr>
          <w:sz w:val="44"/>
          <w:szCs w:val="44"/>
        </w:rPr>
        <w:t>1</w:t>
      </w:r>
    </w:p>
    <w:p w14:paraId="3DC162FC" w14:textId="77777777" w:rsidR="00FD04AE" w:rsidRDefault="00FD04AE">
      <w:pPr>
        <w:pStyle w:val="Textoindependiente"/>
        <w:rPr>
          <w:sz w:val="48"/>
        </w:rPr>
      </w:pPr>
    </w:p>
    <w:p w14:paraId="3EFF2999" w14:textId="77777777" w:rsidR="00FD04AE" w:rsidRDefault="00FD04AE">
      <w:pPr>
        <w:pStyle w:val="Textoindependiente"/>
        <w:rPr>
          <w:sz w:val="48"/>
        </w:rPr>
      </w:pPr>
    </w:p>
    <w:p w14:paraId="5DEBBA6E" w14:textId="77777777" w:rsidR="00FD04AE" w:rsidRDefault="00FD04AE">
      <w:pPr>
        <w:pStyle w:val="Textoindependiente"/>
        <w:rPr>
          <w:sz w:val="48"/>
        </w:rPr>
      </w:pPr>
    </w:p>
    <w:p w14:paraId="375C04B9" w14:textId="77777777" w:rsidR="00FD04AE" w:rsidRDefault="00FD04AE">
      <w:pPr>
        <w:pStyle w:val="Textoindependiente"/>
        <w:rPr>
          <w:sz w:val="48"/>
        </w:rPr>
      </w:pPr>
    </w:p>
    <w:p w14:paraId="602E0339" w14:textId="77777777" w:rsidR="00FD04AE" w:rsidRDefault="00FD04AE">
      <w:pPr>
        <w:pStyle w:val="Textoindependiente"/>
        <w:rPr>
          <w:sz w:val="48"/>
        </w:rPr>
      </w:pPr>
    </w:p>
    <w:p w14:paraId="603E8FA0" w14:textId="77777777" w:rsidR="00FD04AE" w:rsidRDefault="00FD04AE">
      <w:pPr>
        <w:pStyle w:val="Textoindependiente"/>
        <w:rPr>
          <w:sz w:val="48"/>
        </w:rPr>
      </w:pPr>
    </w:p>
    <w:p w14:paraId="5B18D8DF" w14:textId="77777777" w:rsidR="00FD04AE" w:rsidRDefault="00FD04AE">
      <w:pPr>
        <w:pStyle w:val="Textoindependiente"/>
        <w:spacing w:before="2"/>
        <w:rPr>
          <w:sz w:val="51"/>
        </w:rPr>
      </w:pPr>
    </w:p>
    <w:p w14:paraId="50C7DC7A" w14:textId="77777777" w:rsidR="000B6C6D" w:rsidRDefault="000B6C6D">
      <w:pPr>
        <w:ind w:left="662" w:right="4135"/>
        <w:rPr>
          <w:rFonts w:ascii="Century Gothic" w:hAnsi="Century Gothic"/>
          <w:b/>
          <w:sz w:val="16"/>
        </w:rPr>
      </w:pPr>
    </w:p>
    <w:p w14:paraId="32AC2DBB" w14:textId="77777777" w:rsidR="000B6C6D" w:rsidRDefault="000B6C6D">
      <w:pPr>
        <w:ind w:left="662" w:right="4135"/>
        <w:rPr>
          <w:rFonts w:ascii="Century Gothic" w:hAnsi="Century Gothic"/>
          <w:b/>
          <w:sz w:val="16"/>
        </w:rPr>
      </w:pPr>
    </w:p>
    <w:p w14:paraId="0343B894" w14:textId="77777777" w:rsidR="000B6C6D" w:rsidRDefault="000B6C6D">
      <w:pPr>
        <w:ind w:left="662" w:right="4135"/>
        <w:rPr>
          <w:rFonts w:ascii="Century Gothic" w:hAnsi="Century Gothic"/>
          <w:b/>
          <w:sz w:val="16"/>
        </w:rPr>
      </w:pPr>
    </w:p>
    <w:p w14:paraId="7DCED2CD" w14:textId="77777777" w:rsidR="000B6C6D" w:rsidRDefault="000B6C6D">
      <w:pPr>
        <w:ind w:left="662" w:right="4135"/>
        <w:rPr>
          <w:rFonts w:ascii="Century Gothic" w:hAnsi="Century Gothic"/>
          <w:b/>
          <w:sz w:val="16"/>
        </w:rPr>
      </w:pPr>
    </w:p>
    <w:p w14:paraId="1FBF61D6" w14:textId="77777777" w:rsidR="000B6C6D" w:rsidRDefault="000B6C6D">
      <w:pPr>
        <w:ind w:left="662" w:right="4135"/>
        <w:rPr>
          <w:rFonts w:ascii="Century Gothic" w:hAnsi="Century Gothic"/>
          <w:b/>
          <w:sz w:val="16"/>
        </w:rPr>
      </w:pPr>
    </w:p>
    <w:p w14:paraId="37FB158F" w14:textId="77777777" w:rsidR="000B6C6D" w:rsidRDefault="000B6C6D">
      <w:pPr>
        <w:ind w:left="662" w:right="4135"/>
        <w:rPr>
          <w:rFonts w:ascii="Century Gothic" w:hAnsi="Century Gothic"/>
          <w:b/>
          <w:sz w:val="16"/>
        </w:rPr>
      </w:pPr>
    </w:p>
    <w:p w14:paraId="0C3D4E81" w14:textId="77777777" w:rsidR="000B6C6D" w:rsidRDefault="000B6C6D">
      <w:pPr>
        <w:ind w:left="662" w:right="4135"/>
        <w:rPr>
          <w:rFonts w:ascii="Century Gothic" w:hAnsi="Century Gothic"/>
          <w:b/>
          <w:sz w:val="16"/>
        </w:rPr>
      </w:pPr>
    </w:p>
    <w:p w14:paraId="4903B180" w14:textId="77777777" w:rsidR="000B6C6D" w:rsidRDefault="000B6C6D">
      <w:pPr>
        <w:ind w:left="662" w:right="4135"/>
        <w:rPr>
          <w:rFonts w:ascii="Century Gothic" w:hAnsi="Century Gothic"/>
          <w:b/>
          <w:sz w:val="16"/>
        </w:rPr>
      </w:pPr>
    </w:p>
    <w:p w14:paraId="607A2C29" w14:textId="77777777" w:rsidR="000B6C6D" w:rsidRDefault="000B6C6D">
      <w:pPr>
        <w:ind w:left="662" w:right="4135"/>
        <w:rPr>
          <w:rFonts w:ascii="Century Gothic" w:hAnsi="Century Gothic"/>
          <w:b/>
          <w:sz w:val="16"/>
        </w:rPr>
      </w:pPr>
    </w:p>
    <w:p w14:paraId="0AA17F29" w14:textId="77777777" w:rsidR="000B6C6D" w:rsidRDefault="000B6C6D">
      <w:pPr>
        <w:ind w:left="662" w:right="4135"/>
        <w:rPr>
          <w:rFonts w:ascii="Century Gothic" w:hAnsi="Century Gothic"/>
          <w:b/>
          <w:sz w:val="16"/>
        </w:rPr>
      </w:pPr>
    </w:p>
    <w:p w14:paraId="0698F48A" w14:textId="77777777" w:rsidR="00CE2018" w:rsidRDefault="00CE2018" w:rsidP="00CE2018">
      <w:pPr>
        <w:ind w:left="662" w:right="3380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sz w:val="16"/>
        </w:rPr>
        <w:t xml:space="preserve">SERVICIO AGRICOLA Y GANADERO / </w:t>
      </w:r>
      <w:r>
        <w:rPr>
          <w:rFonts w:ascii="Century Gothic" w:hAnsi="Century Gothic"/>
          <w:sz w:val="16"/>
        </w:rPr>
        <w:t>División Protección Agrícola, Forestal y Semillas</w:t>
      </w:r>
    </w:p>
    <w:p w14:paraId="34EA120C" w14:textId="77777777" w:rsidR="00CE2018" w:rsidRDefault="00CE2018" w:rsidP="00CE2018">
      <w:pPr>
        <w:ind w:left="662" w:right="4135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Subdepartamento de Viñas, Vinos y Bebidas Alcohólicas</w:t>
      </w:r>
    </w:p>
    <w:p w14:paraId="12C32DE1" w14:textId="77777777" w:rsidR="00CE2018" w:rsidRDefault="00CE2018" w:rsidP="00CE2018">
      <w:pPr>
        <w:ind w:left="662" w:right="3874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Departamento de Regulación y Control de Insumos y Productos Silvoagrícolas Avenida Presidente Bulnes 140, piso 3.</w:t>
      </w:r>
      <w:r>
        <w:rPr>
          <w:rFonts w:ascii="Century Gothic" w:hAnsi="Century Gothic"/>
          <w:spacing w:val="-6"/>
          <w:sz w:val="16"/>
        </w:rPr>
        <w:t xml:space="preserve"> </w:t>
      </w:r>
      <w:r>
        <w:rPr>
          <w:rFonts w:ascii="Century Gothic" w:hAnsi="Century Gothic"/>
          <w:sz w:val="16"/>
        </w:rPr>
        <w:t>Santiago.</w:t>
      </w:r>
    </w:p>
    <w:p w14:paraId="64C3CA35" w14:textId="77777777" w:rsidR="00CE2018" w:rsidRDefault="00CE2018" w:rsidP="00CE2018">
      <w:pPr>
        <w:ind w:left="662"/>
        <w:rPr>
          <w:rFonts w:ascii="Century Gothic"/>
          <w:sz w:val="16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51692032" behindDoc="0" locked="0" layoutInCell="1" allowOverlap="1" wp14:anchorId="4631394E" wp14:editId="69704E4F">
            <wp:simplePos x="0" y="0"/>
            <wp:positionH relativeFrom="page">
              <wp:posOffset>1080769</wp:posOffset>
            </wp:positionH>
            <wp:positionV relativeFrom="paragraph">
              <wp:posOffset>210527</wp:posOffset>
            </wp:positionV>
            <wp:extent cx="1230135" cy="7124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35" cy="71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sz w:val="16"/>
        </w:rPr>
        <w:t>Fono:  56-2-23451369 -  E-mail:</w:t>
      </w:r>
      <w:r>
        <w:rPr>
          <w:rFonts w:ascii="Century Gothic"/>
          <w:spacing w:val="-24"/>
          <w:sz w:val="16"/>
        </w:rPr>
        <w:t xml:space="preserve"> </w:t>
      </w:r>
      <w:hyperlink r:id="rId10">
        <w:r>
          <w:rPr>
            <w:rFonts w:ascii="Century Gothic"/>
            <w:sz w:val="16"/>
          </w:rPr>
          <w:t>vinas@sag.gob.cl</w:t>
        </w:r>
      </w:hyperlink>
    </w:p>
    <w:p w14:paraId="2A25308B" w14:textId="77777777" w:rsidR="00FD04AE" w:rsidRDefault="00FD04AE">
      <w:pPr>
        <w:rPr>
          <w:rFonts w:ascii="Century Gothic"/>
          <w:sz w:val="16"/>
        </w:rPr>
        <w:sectPr w:rsidR="00FD04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50" w:h="15850"/>
          <w:pgMar w:top="1500" w:right="600" w:bottom="280" w:left="1040" w:header="720" w:footer="720" w:gutter="0"/>
          <w:cols w:space="720"/>
        </w:sectPr>
      </w:pPr>
    </w:p>
    <w:p w14:paraId="6FC4024F" w14:textId="77777777" w:rsidR="00FD04AE" w:rsidRDefault="002A213D">
      <w:pPr>
        <w:pStyle w:val="Ttulo1"/>
        <w:spacing w:before="197"/>
      </w:pPr>
      <w:r>
        <w:lastRenderedPageBreak/>
        <w:t>Introducción</w:t>
      </w:r>
    </w:p>
    <w:p w14:paraId="4D998B48" w14:textId="77777777" w:rsidR="00FD04AE" w:rsidRDefault="00FD04AE">
      <w:pPr>
        <w:pStyle w:val="Textoindependiente"/>
        <w:spacing w:before="7"/>
        <w:rPr>
          <w:b/>
          <w:sz w:val="19"/>
        </w:rPr>
      </w:pPr>
    </w:p>
    <w:p w14:paraId="1681294B" w14:textId="6FD066D7" w:rsidR="00FD04AE" w:rsidRDefault="002A213D">
      <w:pPr>
        <w:pStyle w:val="Textoindependiente"/>
        <w:spacing w:before="1"/>
        <w:ind w:left="1370" w:right="1093"/>
        <w:jc w:val="both"/>
      </w:pPr>
      <w:r>
        <w:t>El Servicio Agrícola y Ganadero, a través del Subdepartamento de Viñas,</w:t>
      </w:r>
      <w:r w:rsidR="001B50EC">
        <w:t xml:space="preserve"> </w:t>
      </w:r>
      <w:r>
        <w:t xml:space="preserve">Vinos y Bebidas Alcohólicas, en concordancia con lo realizado en años anteriores, </w:t>
      </w:r>
      <w:bookmarkStart w:id="0" w:name="_Hlk75358176"/>
      <w:r>
        <w:t xml:space="preserve">entrega el </w:t>
      </w:r>
      <w:r>
        <w:rPr>
          <w:b/>
        </w:rPr>
        <w:t xml:space="preserve">Informe </w:t>
      </w:r>
      <w:r w:rsidR="001B50EC">
        <w:rPr>
          <w:b/>
        </w:rPr>
        <w:t xml:space="preserve">Parcial </w:t>
      </w:r>
      <w:r w:rsidR="00303E45">
        <w:rPr>
          <w:b/>
        </w:rPr>
        <w:t>2</w:t>
      </w:r>
      <w:r w:rsidR="001B50EC">
        <w:rPr>
          <w:b/>
        </w:rPr>
        <w:t xml:space="preserve"> </w:t>
      </w:r>
      <w:r>
        <w:rPr>
          <w:b/>
        </w:rPr>
        <w:t>de Producción de Vinos 20</w:t>
      </w:r>
      <w:r w:rsidR="00683132">
        <w:rPr>
          <w:b/>
        </w:rPr>
        <w:t>2</w:t>
      </w:r>
      <w:r w:rsidR="001B50EC">
        <w:rPr>
          <w:b/>
        </w:rPr>
        <w:t>1</w:t>
      </w:r>
      <w:r>
        <w:t>, el cual ha sido elaborado con los antecedentes proporcionados por los productores, a través de sus declaraciones juradas de producción, realizadas electrónicamente</w:t>
      </w:r>
      <w:r w:rsidR="009D6CE7">
        <w:t>,</w:t>
      </w:r>
      <w:r>
        <w:t xml:space="preserve"> en el sistema en línea habilitado para este efecto, a través del Portal Institucional del Servicio, el cual </w:t>
      </w:r>
      <w:r w:rsidR="001B50EC">
        <w:t xml:space="preserve">estuvo </w:t>
      </w:r>
      <w:r>
        <w:t>disponible para</w:t>
      </w:r>
      <w:r w:rsidR="00597F55">
        <w:t xml:space="preserve"> </w:t>
      </w:r>
      <w:r>
        <w:t>los usuarios hasta el</w:t>
      </w:r>
      <w:r w:rsidR="001B50EC">
        <w:t xml:space="preserve"> día</w:t>
      </w:r>
      <w:r>
        <w:t xml:space="preserve"> </w:t>
      </w:r>
      <w:r w:rsidR="00295A16">
        <w:t>04</w:t>
      </w:r>
      <w:r w:rsidR="001B50EC">
        <w:t xml:space="preserve"> de ju</w:t>
      </w:r>
      <w:r w:rsidR="00295A16">
        <w:t>lio</w:t>
      </w:r>
      <w:r w:rsidR="001B50EC">
        <w:t xml:space="preserve"> </w:t>
      </w:r>
      <w:r>
        <w:t>del año en curso</w:t>
      </w:r>
      <w:r w:rsidR="009D6CE7">
        <w:t>.</w:t>
      </w:r>
    </w:p>
    <w:bookmarkEnd w:id="0"/>
    <w:p w14:paraId="1D0867FD" w14:textId="594A712A" w:rsidR="009D6CE7" w:rsidRDefault="009D6CE7" w:rsidP="009D6CE7">
      <w:pPr>
        <w:pStyle w:val="Textoindependiente"/>
        <w:spacing w:before="240" w:after="240"/>
        <w:ind w:left="1370" w:right="1112"/>
        <w:jc w:val="both"/>
        <w:rPr>
          <w:rFonts w:cs="Arial"/>
          <w:i/>
        </w:rPr>
      </w:pPr>
      <w:r w:rsidRPr="009D6CE7">
        <w:t xml:space="preserve">Este </w:t>
      </w:r>
      <w:r w:rsidR="002A56A3">
        <w:t>segundo</w:t>
      </w:r>
      <w:r w:rsidRPr="009D6CE7">
        <w:t xml:space="preserve"> informe parcial contiene los datos de las declaraciones de los usuarios afectos a la Ley </w:t>
      </w:r>
      <w:proofErr w:type="spellStart"/>
      <w:r w:rsidRPr="009D6CE7">
        <w:t>N°</w:t>
      </w:r>
      <w:proofErr w:type="spellEnd"/>
      <w:r w:rsidRPr="009D6CE7">
        <w:t xml:space="preserve"> 18.455 a la fecha de cierre del sistema, en la fecha señalada precedentemente</w:t>
      </w:r>
      <w:r>
        <w:rPr>
          <w:rFonts w:cs="Arial"/>
          <w:i/>
        </w:rPr>
        <w:t>.</w:t>
      </w:r>
    </w:p>
    <w:p w14:paraId="4399943E" w14:textId="1D874EDA" w:rsidR="009D6CE7" w:rsidRPr="009D6CE7" w:rsidRDefault="009D6CE7" w:rsidP="009D6CE7">
      <w:pPr>
        <w:pStyle w:val="Textoindependiente"/>
        <w:spacing w:before="240" w:after="240"/>
        <w:ind w:left="1370" w:right="1112"/>
        <w:jc w:val="both"/>
        <w:rPr>
          <w:rFonts w:cs="Arial"/>
          <w:iCs/>
        </w:rPr>
      </w:pPr>
      <w:r w:rsidRPr="009D6CE7">
        <w:rPr>
          <w:rFonts w:cs="Arial"/>
          <w:iCs/>
        </w:rPr>
        <w:t>Los cuadros informativos que se presentan a continuación contienen la información separada por tipos de vinos:</w:t>
      </w:r>
    </w:p>
    <w:p w14:paraId="13750054" w14:textId="2A08E901" w:rsidR="00FD04AE" w:rsidRDefault="002A213D">
      <w:pPr>
        <w:pStyle w:val="Prrafodelista"/>
        <w:numPr>
          <w:ilvl w:val="0"/>
          <w:numId w:val="2"/>
        </w:numPr>
        <w:tabs>
          <w:tab w:val="left" w:pos="1730"/>
        </w:tabs>
        <w:spacing w:before="1"/>
        <w:ind w:right="1095"/>
        <w:jc w:val="both"/>
      </w:pPr>
      <w:r>
        <w:rPr>
          <w:b/>
        </w:rPr>
        <w:t>Vinos con denominación de origen</w:t>
      </w:r>
      <w:r>
        <w:t>: Son los provenientes de alguna de las regiones vitícolas señaladas en el artículo 1</w:t>
      </w:r>
      <w:r w:rsidR="0090069E">
        <w:t>°</w:t>
      </w:r>
      <w:r>
        <w:t xml:space="preserve"> de las áreas o comunas que posean como denominación de origen especial Secano Interior, elaborados con las cepas que se indican en la</w:t>
      </w:r>
      <w:r>
        <w:rPr>
          <w:spacing w:val="27"/>
        </w:rPr>
        <w:t xml:space="preserve"> </w:t>
      </w:r>
      <w:r>
        <w:t>letra</w:t>
      </w:r>
    </w:p>
    <w:p w14:paraId="0A9A523D" w14:textId="77777777" w:rsidR="00FD04AE" w:rsidRDefault="002A213D">
      <w:pPr>
        <w:pStyle w:val="Prrafodelista"/>
        <w:numPr>
          <w:ilvl w:val="0"/>
          <w:numId w:val="2"/>
        </w:numPr>
        <w:tabs>
          <w:tab w:val="left" w:pos="2045"/>
        </w:tabs>
        <w:spacing w:before="1"/>
        <w:ind w:firstLine="0"/>
        <w:jc w:val="both"/>
      </w:pPr>
      <w:r>
        <w:t>del artículo 3º o en el artículo 3° bis, y que cumplen con los demás requisitos establecidos para esta</w:t>
      </w:r>
      <w:r>
        <w:rPr>
          <w:spacing w:val="-7"/>
        </w:rPr>
        <w:t xml:space="preserve"> </w:t>
      </w:r>
      <w:r>
        <w:t>categoría.</w:t>
      </w:r>
    </w:p>
    <w:p w14:paraId="5D5198B8" w14:textId="77777777" w:rsidR="00FD04AE" w:rsidRDefault="00FD04AE">
      <w:pPr>
        <w:pStyle w:val="Textoindependiente"/>
        <w:spacing w:before="9"/>
        <w:rPr>
          <w:sz w:val="19"/>
        </w:rPr>
      </w:pPr>
    </w:p>
    <w:p w14:paraId="1E5CAB47" w14:textId="77777777" w:rsidR="00FD04AE" w:rsidRDefault="002A213D">
      <w:pPr>
        <w:pStyle w:val="Prrafodelista"/>
        <w:numPr>
          <w:ilvl w:val="0"/>
          <w:numId w:val="1"/>
        </w:numPr>
        <w:tabs>
          <w:tab w:val="left" w:pos="1730"/>
        </w:tabs>
      </w:pPr>
      <w:r>
        <w:rPr>
          <w:b/>
        </w:rPr>
        <w:t>Vinos sin denominación de origen</w:t>
      </w:r>
      <w:r>
        <w:t>: Son los elaborados con uvas obtenidas en cualquier región del país, pertenecientes a las variedades que se indican en la letra b) del artículo 3° de este mismo decreto o con otras variedades viníferas tradicionales no incluidas en dicha</w:t>
      </w:r>
      <w:r>
        <w:rPr>
          <w:spacing w:val="-3"/>
        </w:rPr>
        <w:t xml:space="preserve"> </w:t>
      </w:r>
      <w:r>
        <w:t>nómina.</w:t>
      </w:r>
    </w:p>
    <w:p w14:paraId="642393DD" w14:textId="77777777" w:rsidR="00FD04AE" w:rsidRDefault="00FD04AE">
      <w:pPr>
        <w:pStyle w:val="Textoindependiente"/>
        <w:spacing w:before="10"/>
        <w:rPr>
          <w:sz w:val="19"/>
        </w:rPr>
      </w:pPr>
    </w:p>
    <w:p w14:paraId="2F886E62" w14:textId="27A36CA6" w:rsidR="009D6CE7" w:rsidRDefault="002A213D" w:rsidP="00821E9F">
      <w:pPr>
        <w:pStyle w:val="Prrafodelista"/>
        <w:numPr>
          <w:ilvl w:val="0"/>
          <w:numId w:val="1"/>
        </w:numPr>
        <w:tabs>
          <w:tab w:val="left" w:pos="1730"/>
        </w:tabs>
        <w:ind w:right="1096"/>
      </w:pPr>
      <w:r w:rsidRPr="009D6CE7">
        <w:rPr>
          <w:b/>
        </w:rPr>
        <w:t>Vinos elaborados con uva de mesa</w:t>
      </w:r>
      <w:r>
        <w:t>: Son los obtenidos de uvas de mesa.</w:t>
      </w:r>
    </w:p>
    <w:p w14:paraId="49DF9AE7" w14:textId="77777777" w:rsidR="009D6CE7" w:rsidRPr="009D6CE7" w:rsidRDefault="009D6CE7" w:rsidP="009D6CE7">
      <w:pPr>
        <w:pStyle w:val="Textoindependiente"/>
        <w:widowControl/>
        <w:numPr>
          <w:ilvl w:val="0"/>
          <w:numId w:val="1"/>
        </w:numPr>
        <w:autoSpaceDE/>
        <w:autoSpaceDN/>
        <w:spacing w:before="240" w:after="240"/>
        <w:ind w:right="1112"/>
        <w:jc w:val="both"/>
        <w:rPr>
          <w:rFonts w:cs="Arial"/>
          <w:iCs/>
        </w:rPr>
      </w:pPr>
      <w:r w:rsidRPr="009D6CE7">
        <w:rPr>
          <w:rFonts w:cs="Arial"/>
          <w:b/>
          <w:iCs/>
        </w:rPr>
        <w:t>Vino para pisco</w:t>
      </w:r>
      <w:r w:rsidRPr="009D6CE7">
        <w:rPr>
          <w:rFonts w:cs="Arial"/>
          <w:iCs/>
        </w:rPr>
        <w:t xml:space="preserve">: Son los vinos producidos en las regiones de Atacama y Coquimbo, provenientes de las variedades de vides indicadas en el Decreto </w:t>
      </w:r>
      <w:proofErr w:type="spellStart"/>
      <w:r w:rsidRPr="009D6CE7">
        <w:rPr>
          <w:rFonts w:cs="Arial"/>
          <w:iCs/>
        </w:rPr>
        <w:t>Nº</w:t>
      </w:r>
      <w:proofErr w:type="spellEnd"/>
      <w:r w:rsidRPr="009D6CE7">
        <w:rPr>
          <w:rFonts w:cs="Arial"/>
          <w:iCs/>
        </w:rPr>
        <w:t xml:space="preserve"> 521, plantadas en dichas regiones y destinadas a la elaboración del pisco.</w:t>
      </w:r>
    </w:p>
    <w:p w14:paraId="1C8EDB86" w14:textId="77777777" w:rsidR="009D6CE7" w:rsidRDefault="009D6CE7" w:rsidP="009D6CE7">
      <w:pPr>
        <w:pStyle w:val="Prrafodelista"/>
        <w:tabs>
          <w:tab w:val="left" w:pos="1730"/>
        </w:tabs>
        <w:ind w:right="1096" w:firstLine="0"/>
      </w:pPr>
    </w:p>
    <w:p w14:paraId="611DBCDC" w14:textId="77777777" w:rsidR="00FD04AE" w:rsidRDefault="00FD04AE">
      <w:pPr>
        <w:pStyle w:val="Textoindependiente"/>
        <w:rPr>
          <w:sz w:val="20"/>
        </w:rPr>
      </w:pPr>
    </w:p>
    <w:p w14:paraId="6475EFF6" w14:textId="77777777" w:rsidR="00FD04AE" w:rsidRDefault="00FD04AE">
      <w:pPr>
        <w:rPr>
          <w:rFonts w:ascii="Century Gothic"/>
          <w:sz w:val="16"/>
        </w:rPr>
        <w:sectPr w:rsidR="00FD04AE" w:rsidSect="00CE2018">
          <w:footerReference w:type="default" r:id="rId17"/>
          <w:pgSz w:w="12250" w:h="15850"/>
          <w:pgMar w:top="1500" w:right="600" w:bottom="1380" w:left="1040" w:header="0" w:footer="574" w:gutter="0"/>
          <w:pgNumType w:start="2"/>
          <w:cols w:space="720"/>
        </w:sectPr>
      </w:pPr>
    </w:p>
    <w:p w14:paraId="20A4B892" w14:textId="00CEF896" w:rsidR="00FD04AE" w:rsidRPr="00F15E7F" w:rsidRDefault="002A213D">
      <w:pPr>
        <w:pStyle w:val="Ttulo1"/>
        <w:spacing w:before="101"/>
        <w:ind w:left="1413"/>
        <w:jc w:val="both"/>
        <w:rPr>
          <w:color w:val="FF0000"/>
          <w:sz w:val="28"/>
          <w:szCs w:val="28"/>
        </w:rPr>
      </w:pPr>
      <w:r w:rsidRPr="00F15E7F">
        <w:rPr>
          <w:sz w:val="28"/>
          <w:szCs w:val="28"/>
        </w:rPr>
        <w:lastRenderedPageBreak/>
        <w:t>Producción de Vinos 20</w:t>
      </w:r>
      <w:r w:rsidR="00683132" w:rsidRPr="00F15E7F">
        <w:rPr>
          <w:sz w:val="28"/>
          <w:szCs w:val="28"/>
        </w:rPr>
        <w:t>2</w:t>
      </w:r>
      <w:r w:rsidR="001B50EC" w:rsidRPr="00F15E7F">
        <w:rPr>
          <w:sz w:val="28"/>
          <w:szCs w:val="28"/>
        </w:rPr>
        <w:t>1</w:t>
      </w:r>
    </w:p>
    <w:p w14:paraId="6A496AF0" w14:textId="77777777" w:rsidR="00FD04AE" w:rsidRDefault="00FD04AE">
      <w:pPr>
        <w:pStyle w:val="Textoindependiente"/>
        <w:rPr>
          <w:b/>
          <w:sz w:val="26"/>
        </w:rPr>
      </w:pPr>
    </w:p>
    <w:p w14:paraId="7D4D84CF" w14:textId="01A13086" w:rsidR="00FD04AE" w:rsidRPr="00434D66" w:rsidRDefault="002A213D" w:rsidP="00434D66">
      <w:pPr>
        <w:pStyle w:val="Textoindependiente"/>
        <w:ind w:left="1370" w:right="1095"/>
        <w:jc w:val="both"/>
      </w:pPr>
      <w:r w:rsidRPr="00434D66">
        <w:t>La producción de vinos total del año 20</w:t>
      </w:r>
      <w:r w:rsidR="00A3004E">
        <w:t>2</w:t>
      </w:r>
      <w:r w:rsidR="00185FAC">
        <w:t>1</w:t>
      </w:r>
      <w:r w:rsidRPr="00434D66">
        <w:t xml:space="preserve"> alcanzó a </w:t>
      </w:r>
      <w:bookmarkStart w:id="1" w:name="_Hlk76637418"/>
      <w:r w:rsidR="00087316">
        <w:rPr>
          <w:b/>
          <w:bCs/>
        </w:rPr>
        <w:t>1.340.944.721</w:t>
      </w:r>
      <w:r w:rsidRPr="00434D66">
        <w:t xml:space="preserve"> </w:t>
      </w:r>
      <w:bookmarkEnd w:id="1"/>
      <w:r w:rsidRPr="00434D66">
        <w:t xml:space="preserve">litros, </w:t>
      </w:r>
      <w:r w:rsidR="00087316">
        <w:t xml:space="preserve">mayor </w:t>
      </w:r>
      <w:r w:rsidRPr="00434D66">
        <w:t xml:space="preserve">en un </w:t>
      </w:r>
      <w:r w:rsidR="00087316">
        <w:t xml:space="preserve">29,7% </w:t>
      </w:r>
      <w:r w:rsidRPr="00434D66">
        <w:t xml:space="preserve">al año anterior, de los cuales </w:t>
      </w:r>
      <w:r w:rsidR="00A72826">
        <w:rPr>
          <w:b/>
          <w:bCs/>
        </w:rPr>
        <w:t>1.081.337.227</w:t>
      </w:r>
      <w:r w:rsidR="00434D66" w:rsidRPr="00434D66">
        <w:rPr>
          <w:rFonts w:eastAsia="Times New Roman" w:cs="Calibri"/>
          <w:b/>
          <w:bCs/>
          <w:color w:val="000000"/>
          <w:lang w:val="es-CL" w:eastAsia="es-CL" w:bidi="ar-SA"/>
        </w:rPr>
        <w:t xml:space="preserve"> </w:t>
      </w:r>
      <w:r w:rsidRPr="00434D66">
        <w:t xml:space="preserve">litros corresponde a vinos con denominación de origen, equivalente al </w:t>
      </w:r>
      <w:r w:rsidR="00185FAC">
        <w:t>8</w:t>
      </w:r>
      <w:r w:rsidR="00A72826">
        <w:t>0,6</w:t>
      </w:r>
      <w:r w:rsidRPr="00434D66">
        <w:t xml:space="preserve">% del total declarado; </w:t>
      </w:r>
      <w:r w:rsidR="00434D66" w:rsidRPr="00683132">
        <w:rPr>
          <w:rFonts w:eastAsia="Times New Roman" w:cs="Calibri"/>
          <w:b/>
          <w:bCs/>
          <w:color w:val="000000"/>
          <w:lang w:val="es-CL" w:eastAsia="es-CL" w:bidi="ar-SA"/>
        </w:rPr>
        <w:t>1</w:t>
      </w:r>
      <w:r w:rsidR="00A72826">
        <w:rPr>
          <w:rFonts w:eastAsia="Times New Roman" w:cs="Calibri"/>
          <w:b/>
          <w:bCs/>
          <w:color w:val="000000"/>
          <w:lang w:val="es-CL" w:eastAsia="es-CL" w:bidi="ar-SA"/>
        </w:rPr>
        <w:t>92</w:t>
      </w:r>
      <w:r w:rsidR="00DC662D">
        <w:rPr>
          <w:rFonts w:eastAsia="Times New Roman" w:cs="Calibri"/>
          <w:b/>
          <w:bCs/>
          <w:color w:val="000000"/>
          <w:lang w:val="es-CL" w:eastAsia="es-CL" w:bidi="ar-SA"/>
        </w:rPr>
        <w:t>.</w:t>
      </w:r>
      <w:r w:rsidR="00C35DAA">
        <w:rPr>
          <w:rFonts w:eastAsia="Times New Roman" w:cs="Calibri"/>
          <w:b/>
          <w:bCs/>
          <w:color w:val="000000"/>
          <w:lang w:val="es-CL" w:eastAsia="es-CL" w:bidi="ar-SA"/>
        </w:rPr>
        <w:t>7</w:t>
      </w:r>
      <w:r w:rsidR="00A72826">
        <w:rPr>
          <w:rFonts w:eastAsia="Times New Roman" w:cs="Calibri"/>
          <w:b/>
          <w:bCs/>
          <w:color w:val="000000"/>
          <w:lang w:val="es-CL" w:eastAsia="es-CL" w:bidi="ar-SA"/>
        </w:rPr>
        <w:t>14</w:t>
      </w:r>
      <w:r w:rsidR="00C35DAA">
        <w:rPr>
          <w:rFonts w:eastAsia="Times New Roman" w:cs="Calibri"/>
          <w:b/>
          <w:bCs/>
          <w:color w:val="000000"/>
          <w:lang w:val="es-CL" w:eastAsia="es-CL" w:bidi="ar-SA"/>
        </w:rPr>
        <w:t>.</w:t>
      </w:r>
      <w:r w:rsidR="00A72826">
        <w:rPr>
          <w:rFonts w:eastAsia="Times New Roman" w:cs="Calibri"/>
          <w:b/>
          <w:bCs/>
          <w:color w:val="000000"/>
          <w:lang w:val="es-CL" w:eastAsia="es-CL" w:bidi="ar-SA"/>
        </w:rPr>
        <w:t>620</w:t>
      </w:r>
      <w:r w:rsidRPr="00434D66">
        <w:t xml:space="preserve"> litros a vinos sin denominación de origen que incluye también los vinos viníferos corrientes declarados que no especifican variedad, equivalente al </w:t>
      </w:r>
      <w:r w:rsidR="00434D66" w:rsidRPr="00434D66">
        <w:t>1</w:t>
      </w:r>
      <w:r w:rsidR="00A72826">
        <w:t>4,5</w:t>
      </w:r>
      <w:r w:rsidRPr="00434D66">
        <w:t xml:space="preserve">% del total declarado; y </w:t>
      </w:r>
      <w:r w:rsidR="00DC662D">
        <w:rPr>
          <w:rFonts w:eastAsia="Times New Roman" w:cs="Calibri"/>
          <w:b/>
          <w:bCs/>
          <w:color w:val="000000"/>
          <w:lang w:val="es-CL" w:eastAsia="es-CL" w:bidi="ar-SA"/>
        </w:rPr>
        <w:t>6</w:t>
      </w:r>
      <w:r w:rsidR="00A72826">
        <w:rPr>
          <w:rFonts w:eastAsia="Times New Roman" w:cs="Calibri"/>
          <w:b/>
          <w:bCs/>
          <w:color w:val="000000"/>
          <w:lang w:val="es-CL" w:eastAsia="es-CL" w:bidi="ar-SA"/>
        </w:rPr>
        <w:t>6.892.874</w:t>
      </w:r>
      <w:r w:rsidR="00434D66" w:rsidRPr="00434D66">
        <w:rPr>
          <w:rFonts w:eastAsia="Times New Roman" w:cs="Calibri"/>
          <w:b/>
          <w:bCs/>
          <w:color w:val="000000"/>
          <w:lang w:val="es-CL" w:eastAsia="es-CL" w:bidi="ar-SA"/>
        </w:rPr>
        <w:t xml:space="preserve"> </w:t>
      </w:r>
      <w:r w:rsidRPr="00434D66">
        <w:t xml:space="preserve">litros a vinos provenientes de uvas de mesa, equivalente al </w:t>
      </w:r>
      <w:r w:rsidR="00A72826">
        <w:t>4,9</w:t>
      </w:r>
      <w:r w:rsidRPr="00434D66">
        <w:t>% del total declarado. La producción de vino para Pisco fue</w:t>
      </w:r>
      <w:r w:rsidRPr="00434D66">
        <w:rPr>
          <w:spacing w:val="61"/>
        </w:rPr>
        <w:t xml:space="preserve"> </w:t>
      </w:r>
      <w:r w:rsidRPr="00434D66">
        <w:t>de</w:t>
      </w:r>
      <w:r w:rsidR="00434D66">
        <w:t xml:space="preserve"> </w:t>
      </w:r>
      <w:r w:rsidR="00C04700">
        <w:t>37.735.171</w:t>
      </w:r>
      <w:r w:rsidR="00434D66">
        <w:t xml:space="preserve"> </w:t>
      </w:r>
      <w:r w:rsidRPr="00434D66">
        <w:t>litros.</w:t>
      </w:r>
    </w:p>
    <w:p w14:paraId="21ECE5EC" w14:textId="77777777" w:rsidR="00FD04AE" w:rsidRDefault="00FD04AE" w:rsidP="00434D66">
      <w:pPr>
        <w:pStyle w:val="Textoindependiente"/>
        <w:spacing w:before="8"/>
        <w:jc w:val="both"/>
        <w:rPr>
          <w:sz w:val="19"/>
        </w:rPr>
      </w:pPr>
    </w:p>
    <w:p w14:paraId="183D57CB" w14:textId="4917AAF9" w:rsidR="00FD04AE" w:rsidRDefault="002A213D">
      <w:pPr>
        <w:pStyle w:val="Ttulo1"/>
        <w:ind w:right="1096"/>
        <w:jc w:val="both"/>
      </w:pPr>
      <w:r>
        <w:t>Las producciones de vinos 20</w:t>
      </w:r>
      <w:r w:rsidR="00A3004E">
        <w:t>2</w:t>
      </w:r>
      <w:r w:rsidR="008D4C9A">
        <w:t>1</w:t>
      </w:r>
      <w:r>
        <w:t xml:space="preserve"> por Regiones Administrativas del país</w:t>
      </w:r>
      <w:r>
        <w:rPr>
          <w:b w:val="0"/>
        </w:rPr>
        <w:t xml:space="preserve">, </w:t>
      </w:r>
      <w:r>
        <w:t>fueron las siguientes:</w:t>
      </w:r>
    </w:p>
    <w:p w14:paraId="045DBE0C" w14:textId="77777777" w:rsidR="00FD04AE" w:rsidRDefault="00FD04AE">
      <w:pPr>
        <w:pStyle w:val="Textoindependiente"/>
        <w:rPr>
          <w:b/>
          <w:sz w:val="20"/>
        </w:rPr>
      </w:pPr>
    </w:p>
    <w:p w14:paraId="1B5087C9" w14:textId="77777777" w:rsidR="00C70B61" w:rsidRDefault="00683132">
      <w:pPr>
        <w:pStyle w:val="Textoindependiente"/>
        <w:rPr>
          <w:rFonts w:asciiTheme="minorHAnsi" w:eastAsiaTheme="minorHAnsi" w:hAnsiTheme="minorHAnsi" w:cstheme="minorBidi"/>
          <w:lang w:val="en-US" w:eastAsia="en-US" w:bidi="ar-SA"/>
        </w:rPr>
      </w:pPr>
      <w:r>
        <w:fldChar w:fldCharType="begin"/>
      </w:r>
      <w:r>
        <w:instrText xml:space="preserve"> LINK </w:instrText>
      </w:r>
      <w:r w:rsidR="00C70B61">
        <w:instrText xml:space="preserve">Excel.Sheet.12 "D:\\DECLARACION COSECHA 2020.xlsx" 2019!F20C7:F35C11 </w:instrText>
      </w:r>
      <w:r>
        <w:instrText xml:space="preserve">\a \f 4 \h </w:instrText>
      </w:r>
      <w:r w:rsidR="00434D66">
        <w:instrText xml:space="preserve"> \* MERGEFORMAT </w:instrText>
      </w:r>
      <w:r>
        <w:fldChar w:fldCharType="separate"/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860"/>
        <w:gridCol w:w="1860"/>
        <w:gridCol w:w="1860"/>
        <w:gridCol w:w="1860"/>
      </w:tblGrid>
      <w:tr w:rsidR="008C3F58" w:rsidRPr="00C70B61" w14:paraId="454D1820" w14:textId="77777777" w:rsidTr="00C70B61">
        <w:trPr>
          <w:divId w:val="1163350269"/>
          <w:trHeight w:val="30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7B75F10C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  <w:lang w:val="es-CL" w:eastAsia="es-CL" w:bidi="ar-SA"/>
              </w:rPr>
            </w:pPr>
            <w:bookmarkStart w:id="2" w:name="_Hlk75358304"/>
            <w:r w:rsidRPr="006C6123"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  <w:lang w:val="es-CL" w:eastAsia="es-CL" w:bidi="ar-SA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76AD610D" w14:textId="77777777" w:rsidR="00C70B61" w:rsidRPr="006C6123" w:rsidRDefault="00C70B61" w:rsidP="00C70B61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  <w:lang w:val="es-CL" w:eastAsia="es-CL" w:bidi="ar-SA"/>
              </w:rPr>
            </w:pPr>
            <w:r w:rsidRPr="006C6123">
              <w:rPr>
                <w:rFonts w:eastAsia="Times New Roman" w:cs="Calibri"/>
                <w:b/>
                <w:bCs/>
                <w:color w:val="000000" w:themeColor="text1"/>
                <w:sz w:val="17"/>
                <w:lang w:eastAsia="es-CL" w:bidi="ar-SA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74712E20" w14:textId="77777777" w:rsidR="00C70B61" w:rsidRPr="006C6123" w:rsidRDefault="00C70B61" w:rsidP="00C70B61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  <w:lang w:val="es-CL" w:eastAsia="es-CL" w:bidi="ar-SA"/>
              </w:rPr>
            </w:pPr>
            <w:r w:rsidRPr="006C6123">
              <w:rPr>
                <w:rFonts w:eastAsia="Times New Roman" w:cs="Calibri"/>
                <w:b/>
                <w:bCs/>
                <w:color w:val="000000" w:themeColor="text1"/>
                <w:sz w:val="17"/>
                <w:lang w:eastAsia="es-CL" w:bidi="ar-SA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35036BF3" w14:textId="77777777" w:rsidR="00C70B61" w:rsidRPr="006C6123" w:rsidRDefault="00C70B61" w:rsidP="00C70B61">
            <w:pPr>
              <w:widowControl/>
              <w:autoSpaceDE/>
              <w:autoSpaceDN/>
              <w:ind w:firstLineChars="100" w:firstLine="220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/>
                <w:color w:val="000000" w:themeColor="text1"/>
                <w:lang w:eastAsia="es-CL" w:bidi="ar-SA"/>
              </w:rPr>
              <w:t>Vinos elaborados con uva de mesa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5F511986" w14:textId="77777777" w:rsidR="00C70B61" w:rsidRPr="006C6123" w:rsidRDefault="00C70B61" w:rsidP="00C70B61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 w:themeColor="text1"/>
                <w:sz w:val="17"/>
                <w:szCs w:val="17"/>
                <w:lang w:val="es-CL" w:eastAsia="es-CL" w:bidi="ar-SA"/>
              </w:rPr>
            </w:pPr>
            <w:r w:rsidRPr="006C6123">
              <w:rPr>
                <w:rFonts w:eastAsia="Times New Roman" w:cs="Calibri"/>
                <w:b/>
                <w:bCs/>
                <w:color w:val="000000" w:themeColor="text1"/>
                <w:sz w:val="17"/>
                <w:lang w:eastAsia="es-CL" w:bidi="ar-SA"/>
              </w:rPr>
              <w:t> </w:t>
            </w:r>
          </w:p>
        </w:tc>
      </w:tr>
      <w:tr w:rsidR="008C3F58" w:rsidRPr="00C70B61" w14:paraId="0A97DACA" w14:textId="77777777" w:rsidTr="00C70B61">
        <w:trPr>
          <w:divId w:val="1163350269"/>
          <w:trHeight w:val="315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39A3536D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eastAsia="es-CL" w:bidi="ar-SA"/>
              </w:rPr>
              <w:t>REGIONES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49C4413B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eastAsia="es-CL" w:bidi="ar-SA"/>
              </w:rPr>
              <w:t>Vinos con D.O.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09075CF6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eastAsia="es-CL" w:bidi="ar-SA"/>
              </w:rPr>
              <w:t>Vinos sin D.O. (*)</w:t>
            </w:r>
          </w:p>
        </w:tc>
        <w:tc>
          <w:tcPr>
            <w:tcW w:w="1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60BC0" w14:textId="77777777" w:rsidR="00C70B61" w:rsidRPr="006C6123" w:rsidRDefault="00C70B61" w:rsidP="00C70B6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037DC269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eastAsia="es-CL" w:bidi="ar-SA"/>
              </w:rPr>
              <w:t>Total</w:t>
            </w:r>
          </w:p>
        </w:tc>
      </w:tr>
      <w:tr w:rsidR="009549A3" w:rsidRPr="00C70B61" w14:paraId="759B2448" w14:textId="77777777" w:rsidTr="00C70B61">
        <w:trPr>
          <w:divId w:val="1163350269"/>
          <w:trHeight w:val="315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12409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/>
                <w:color w:val="000000" w:themeColor="text1"/>
                <w:lang w:eastAsia="es-CL" w:bidi="ar-SA"/>
              </w:rPr>
              <w:t>Tarapacá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0775C" w14:textId="36AE48CD" w:rsidR="00C70B61" w:rsidRPr="006C6123" w:rsidRDefault="00076156" w:rsidP="0047479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FFBA2" w14:textId="41DFF6FB" w:rsidR="00C70B61" w:rsidRPr="006C6123" w:rsidRDefault="00076156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54F64" w14:textId="4812CC55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 </w:t>
            </w:r>
            <w:r w:rsidR="00076156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38B7D" w14:textId="1435A7DB" w:rsidR="00C70B61" w:rsidRPr="006C6123" w:rsidRDefault="00076156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0</w:t>
            </w:r>
          </w:p>
        </w:tc>
      </w:tr>
      <w:tr w:rsidR="009549A3" w:rsidRPr="00C70B61" w14:paraId="1104A38D" w14:textId="77777777" w:rsidTr="00C70B61">
        <w:trPr>
          <w:divId w:val="1163350269"/>
          <w:trHeight w:val="315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BD13F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/>
                <w:color w:val="000000" w:themeColor="text1"/>
                <w:lang w:eastAsia="es-CL" w:bidi="ar-SA"/>
              </w:rPr>
              <w:t>Antofagasta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737BA" w14:textId="572BBD28" w:rsidR="00C70B61" w:rsidRPr="006C6123" w:rsidRDefault="00076156" w:rsidP="0047479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1AC3E" w14:textId="5255BD32" w:rsidR="00C70B61" w:rsidRPr="006C6123" w:rsidRDefault="00076156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0</w:t>
            </w:r>
            <w:r w:rsidR="00C70B61"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99FEA" w14:textId="3E480BCB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 </w:t>
            </w:r>
            <w:r w:rsidR="00076156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8A23C" w14:textId="6CF94269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 </w:t>
            </w:r>
            <w:r w:rsidR="00076156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0</w:t>
            </w:r>
          </w:p>
        </w:tc>
      </w:tr>
      <w:tr w:rsidR="009549A3" w:rsidRPr="00C70B61" w14:paraId="735B0453" w14:textId="77777777" w:rsidTr="00C70B61">
        <w:trPr>
          <w:divId w:val="1163350269"/>
          <w:trHeight w:val="315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32432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/>
                <w:color w:val="000000" w:themeColor="text1"/>
                <w:lang w:eastAsia="es-CL" w:bidi="ar-SA"/>
              </w:rPr>
              <w:t>Atacama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09968" w14:textId="24193787" w:rsidR="00C70B61" w:rsidRPr="006C6123" w:rsidRDefault="00961EB8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14.080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A25BC" w14:textId="318AB00A" w:rsidR="00C70B61" w:rsidRPr="006C6123" w:rsidRDefault="00D74536" w:rsidP="00D7453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9.394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6A045" w14:textId="72CE9E80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 </w:t>
            </w:r>
            <w:r w:rsidR="00D74536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F6462" w14:textId="0ACBC895" w:rsidR="00C70B61" w:rsidRPr="006C6123" w:rsidRDefault="00185FAC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2</w:t>
            </w:r>
            <w:r w:rsidR="009549A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3.474</w:t>
            </w:r>
          </w:p>
        </w:tc>
      </w:tr>
      <w:tr w:rsidR="009549A3" w:rsidRPr="00C70B61" w14:paraId="56621947" w14:textId="77777777" w:rsidTr="00C70B61">
        <w:trPr>
          <w:divId w:val="1163350269"/>
          <w:trHeight w:val="315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1E6C2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/>
                <w:color w:val="000000" w:themeColor="text1"/>
                <w:lang w:eastAsia="es-CL" w:bidi="ar-SA"/>
              </w:rPr>
              <w:t>Coquimbo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E44AA" w14:textId="423AAE0A" w:rsidR="00C70B61" w:rsidRPr="006C6123" w:rsidRDefault="00076156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64.758.109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D23B1" w14:textId="58388BA6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2</w:t>
            </w:r>
            <w:r w:rsidR="00D74536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7.954.265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F39E8" w14:textId="7BA39C1E" w:rsidR="00C70B61" w:rsidRPr="006C6123" w:rsidRDefault="00D74536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0</w:t>
            </w:r>
            <w:r w:rsidR="00C70B61"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D55D1" w14:textId="7C44129D" w:rsidR="00C70B61" w:rsidRPr="006C6123" w:rsidRDefault="00D74536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9</w:t>
            </w:r>
            <w:r w:rsidR="009549A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2.712.374</w:t>
            </w:r>
          </w:p>
        </w:tc>
      </w:tr>
      <w:tr w:rsidR="009549A3" w:rsidRPr="00C70B61" w14:paraId="72EF66FE" w14:textId="77777777" w:rsidTr="00C70B61">
        <w:trPr>
          <w:divId w:val="1163350269"/>
          <w:trHeight w:val="315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0976E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/>
                <w:color w:val="000000" w:themeColor="text1"/>
                <w:lang w:eastAsia="es-CL" w:bidi="ar-SA"/>
              </w:rPr>
              <w:t>Valparaíso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E1A3F" w14:textId="321DBD8B" w:rsidR="00C70B61" w:rsidRPr="006C6123" w:rsidRDefault="00961EB8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28.</w:t>
            </w:r>
            <w:r w:rsidR="00076156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266.188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1C112" w14:textId="5C51590C" w:rsidR="00C70B61" w:rsidRPr="006C6123" w:rsidRDefault="0057278B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388</w:t>
            </w:r>
            <w:r w:rsidR="00185FAC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.</w:t>
            </w:r>
            <w:r w:rsidR="00D74536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051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8B5BE" w14:textId="475B9897" w:rsidR="00C70B61" w:rsidRPr="006C6123" w:rsidRDefault="00D74536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2.206.211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10A93" w14:textId="724161FF" w:rsidR="00C70B61" w:rsidRPr="006C6123" w:rsidRDefault="009549A3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30.860.450</w:t>
            </w:r>
          </w:p>
        </w:tc>
      </w:tr>
      <w:tr w:rsidR="009549A3" w:rsidRPr="00C70B61" w14:paraId="5C23F64F" w14:textId="77777777" w:rsidTr="00C70B61">
        <w:trPr>
          <w:divId w:val="1163350269"/>
          <w:trHeight w:val="315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F03F3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/>
                <w:color w:val="000000" w:themeColor="text1"/>
                <w:lang w:eastAsia="es-CL" w:bidi="ar-SA"/>
              </w:rPr>
              <w:t>Metropolitana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76DDA" w14:textId="07182C48" w:rsidR="00C70B61" w:rsidRPr="006C6123" w:rsidRDefault="00076156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89.</w:t>
            </w:r>
            <w:r w:rsidR="00E41B07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795.531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DFF3D" w14:textId="1A1EF787" w:rsidR="00C70B61" w:rsidRPr="006C6123" w:rsidRDefault="0057278B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7</w:t>
            </w:r>
            <w:r w:rsidR="00185FAC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.</w:t>
            </w:r>
            <w:r w:rsidR="000144C5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276.540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618" w14:textId="0F46A466" w:rsidR="00C70B61" w:rsidRPr="006C6123" w:rsidRDefault="00D74536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31.207.537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1C5F5" w14:textId="69F577E6" w:rsidR="00C70B61" w:rsidRPr="006C6123" w:rsidRDefault="00185FAC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bookmarkStart w:id="3" w:name="_Hlk75358818"/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1</w:t>
            </w:r>
            <w:r w:rsidR="009549A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28.279.608</w:t>
            </w:r>
            <w:bookmarkEnd w:id="3"/>
          </w:p>
        </w:tc>
      </w:tr>
      <w:tr w:rsidR="009549A3" w:rsidRPr="00C70B61" w14:paraId="5E9B4385" w14:textId="77777777" w:rsidTr="00C70B61">
        <w:trPr>
          <w:divId w:val="1163350269"/>
          <w:trHeight w:val="315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D1847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/>
                <w:color w:val="000000" w:themeColor="text1"/>
                <w:lang w:eastAsia="es-CL" w:bidi="ar-SA"/>
              </w:rPr>
              <w:t>Lib. Bernardo O’Higgins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95362" w14:textId="74D6A306" w:rsidR="00C70B61" w:rsidRPr="006C6123" w:rsidRDefault="00076156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386.0</w:t>
            </w:r>
            <w:r w:rsidR="00E41B07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30.210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0862E" w14:textId="5AE945C0" w:rsidR="00C70B61" w:rsidRPr="006C6123" w:rsidRDefault="00593D8F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34.704.165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879A9" w14:textId="0E183583" w:rsidR="00C70B61" w:rsidRPr="006C6123" w:rsidRDefault="00E12E5B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18.</w:t>
            </w:r>
            <w:r w:rsidR="00D74536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600.509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03843" w14:textId="3FD7B338" w:rsidR="00C70B61" w:rsidRPr="006C6123" w:rsidRDefault="009549A3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bookmarkStart w:id="4" w:name="_Hlk75358799"/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439.334.884</w:t>
            </w:r>
            <w:bookmarkEnd w:id="4"/>
          </w:p>
        </w:tc>
      </w:tr>
      <w:tr w:rsidR="009549A3" w:rsidRPr="00C70B61" w14:paraId="13BBB7C0" w14:textId="77777777" w:rsidTr="00C70B61">
        <w:trPr>
          <w:divId w:val="1163350269"/>
          <w:trHeight w:val="315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A35B6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/>
                <w:color w:val="000000" w:themeColor="text1"/>
                <w:lang w:eastAsia="es-CL" w:bidi="ar-SA"/>
              </w:rPr>
              <w:t>Maule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B4C47" w14:textId="08920383" w:rsidR="00C70B61" w:rsidRPr="006C6123" w:rsidRDefault="00B94A03" w:rsidP="00B94A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508.075.628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A0C5E" w14:textId="79FC77D6" w:rsidR="00C70B61" w:rsidRPr="006C6123" w:rsidRDefault="00593D8F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100.387.919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9646A" w14:textId="21071B01" w:rsidR="00C70B61" w:rsidRPr="006C6123" w:rsidRDefault="00E12E5B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14.044.012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E107F" w14:textId="1B897B7B" w:rsidR="00C70B61" w:rsidRPr="006C6123" w:rsidRDefault="009549A3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bookmarkStart w:id="5" w:name="_Hlk75358777"/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622.507.559</w:t>
            </w:r>
            <w:bookmarkEnd w:id="5"/>
          </w:p>
        </w:tc>
      </w:tr>
      <w:tr w:rsidR="009549A3" w:rsidRPr="00C70B61" w14:paraId="4DE255A1" w14:textId="77777777" w:rsidTr="00C70B61">
        <w:trPr>
          <w:divId w:val="1163350269"/>
          <w:trHeight w:val="315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4EB89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/>
                <w:color w:val="000000" w:themeColor="text1"/>
                <w:lang w:eastAsia="es-CL" w:bidi="ar-SA"/>
              </w:rPr>
              <w:t>Ñuble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CB5BF" w14:textId="231A1D5D" w:rsidR="00C70B61" w:rsidRPr="006C6123" w:rsidRDefault="00961EB8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B94A0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3.</w:t>
            </w:r>
            <w:r w:rsidR="00B94A03" w:rsidRPr="00B94A0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536.580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52519" w14:textId="190E570E" w:rsidR="00C70B61" w:rsidRPr="006C6123" w:rsidRDefault="003A7BA2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21.676.562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CF936" w14:textId="06B2BFA8" w:rsidR="00C70B61" w:rsidRPr="006C6123" w:rsidRDefault="00E12E5B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8</w:t>
            </w:r>
            <w:r w:rsidR="006C6123"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28.605</w:t>
            </w:r>
            <w:r w:rsidR="00C70B61"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1713F" w14:textId="11CAD136" w:rsidR="00C70B61" w:rsidRPr="006C6123" w:rsidRDefault="009549A3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26.041.747</w:t>
            </w:r>
          </w:p>
        </w:tc>
      </w:tr>
      <w:tr w:rsidR="009549A3" w:rsidRPr="00C70B61" w14:paraId="06DE054B" w14:textId="77777777" w:rsidTr="00C70B61">
        <w:trPr>
          <w:divId w:val="1163350269"/>
          <w:trHeight w:val="315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BCFDC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/>
                <w:color w:val="000000" w:themeColor="text1"/>
                <w:lang w:eastAsia="es-CL" w:bidi="ar-SA"/>
              </w:rPr>
              <w:t xml:space="preserve">Bío </w:t>
            </w:r>
            <w:proofErr w:type="spellStart"/>
            <w:r w:rsidRPr="006C6123">
              <w:rPr>
                <w:rFonts w:ascii="Calibri" w:eastAsia="Times New Roman" w:hAnsi="Calibri"/>
                <w:color w:val="000000" w:themeColor="text1"/>
                <w:lang w:eastAsia="es-CL" w:bidi="ar-SA"/>
              </w:rPr>
              <w:t>Bío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22AFA" w14:textId="60AA788A" w:rsidR="00C70B61" w:rsidRPr="006C6123" w:rsidRDefault="00EE7B07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699.605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77CA1" w14:textId="7EA0A154" w:rsidR="00C70B61" w:rsidRPr="006C6123" w:rsidRDefault="00B20DC7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31</w:t>
            </w:r>
            <w:r w:rsidR="001C6CB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6.554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51516" w14:textId="34642614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 </w:t>
            </w:r>
            <w:r w:rsidR="006C6123"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6.000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6DCB7" w14:textId="2F2A271B" w:rsidR="00C70B61" w:rsidRPr="006C6123" w:rsidRDefault="00C35DAA" w:rsidP="0057278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1.0</w:t>
            </w:r>
            <w:r w:rsidR="009549A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22.159</w:t>
            </w:r>
          </w:p>
        </w:tc>
      </w:tr>
      <w:tr w:rsidR="009549A3" w:rsidRPr="00C70B61" w14:paraId="694B756C" w14:textId="77777777" w:rsidTr="00C70B61">
        <w:trPr>
          <w:divId w:val="1163350269"/>
          <w:trHeight w:val="315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DB330" w14:textId="77777777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/>
                <w:color w:val="000000" w:themeColor="text1"/>
                <w:lang w:eastAsia="es-CL" w:bidi="ar-SA"/>
              </w:rPr>
              <w:t>Araucanía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000F9" w14:textId="10440F9D" w:rsidR="00C70B61" w:rsidRPr="006C6123" w:rsidRDefault="00EE7B07" w:rsidP="0009518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129.350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1FD57" w14:textId="279FD6B0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 </w:t>
            </w:r>
            <w:r w:rsidR="0057278B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0C4E1" w14:textId="4EA92269" w:rsidR="00C70B61" w:rsidRPr="006C6123" w:rsidRDefault="00D74536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0</w:t>
            </w:r>
            <w:r w:rsidR="00C70B61"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DB025" w14:textId="6A7E4B98" w:rsidR="00C70B61" w:rsidRPr="006C6123" w:rsidRDefault="00C35DAA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129.550</w:t>
            </w:r>
          </w:p>
        </w:tc>
      </w:tr>
      <w:tr w:rsidR="009549A3" w:rsidRPr="00C70B61" w14:paraId="07F0284E" w14:textId="77777777" w:rsidTr="00C70B61">
        <w:trPr>
          <w:divId w:val="1163350269"/>
          <w:trHeight w:val="315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4A55A" w14:textId="58BA4FCA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 xml:space="preserve">Los </w:t>
            </w:r>
            <w:r w:rsidR="00EE7B07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Lagos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81D7F" w14:textId="16B57AE7" w:rsidR="00C70B61" w:rsidRPr="006C6123" w:rsidRDefault="00EE7B07" w:rsidP="0009518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31.946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08CFE" w14:textId="5B205B42" w:rsidR="00C70B61" w:rsidRPr="006C6123" w:rsidRDefault="00C70B61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 </w:t>
            </w:r>
            <w:r w:rsidR="0057278B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970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DCFDB" w14:textId="4999E532" w:rsidR="00C70B61" w:rsidRPr="006C6123" w:rsidRDefault="00D74536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0</w:t>
            </w:r>
            <w:r w:rsidR="00C70B61" w:rsidRPr="006C6123"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BC778" w14:textId="68E6A9AB" w:rsidR="00C70B61" w:rsidRPr="006C6123" w:rsidRDefault="00C35DAA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s-CL" w:eastAsia="es-CL" w:bidi="ar-SA"/>
              </w:rPr>
              <w:t>32.916</w:t>
            </w:r>
          </w:p>
        </w:tc>
      </w:tr>
      <w:tr w:rsidR="008C3F58" w:rsidRPr="00C70B61" w14:paraId="0690A247" w14:textId="77777777" w:rsidTr="00C70B61">
        <w:trPr>
          <w:divId w:val="1163350269"/>
          <w:trHeight w:val="315"/>
        </w:trPr>
        <w:tc>
          <w:tcPr>
            <w:tcW w:w="2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65DF54B6" w14:textId="3184FCE0" w:rsidR="00C70B61" w:rsidRPr="006C6123" w:rsidRDefault="00185FAC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/>
                <w:b/>
                <w:bCs/>
                <w:color w:val="000000" w:themeColor="text1"/>
                <w:lang w:eastAsia="es-CL" w:bidi="ar-SA"/>
              </w:rPr>
              <w:softHyphen/>
            </w:r>
            <w:r>
              <w:rPr>
                <w:rFonts w:ascii="Calibri" w:eastAsia="Times New Roman"/>
                <w:b/>
                <w:bCs/>
                <w:color w:val="000000" w:themeColor="text1"/>
                <w:lang w:eastAsia="es-CL" w:bidi="ar-SA"/>
              </w:rPr>
              <w:softHyphen/>
            </w:r>
            <w:r w:rsidR="00C70B61" w:rsidRPr="006C6123">
              <w:rPr>
                <w:rFonts w:ascii="Calibri" w:eastAsia="Times New Roman"/>
                <w:b/>
                <w:bCs/>
                <w:color w:val="000000" w:themeColor="text1"/>
                <w:lang w:eastAsia="es-CL" w:bidi="ar-SA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43C1CA3F" w14:textId="0F278A5B" w:rsidR="00C70B61" w:rsidRPr="006C6123" w:rsidRDefault="002469EA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es-CL" w:eastAsia="es-CL" w:bidi="ar-SA"/>
              </w:rPr>
              <w:t>1.081.337.227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7C789D96" w14:textId="6CEB1B3D" w:rsidR="00C70B61" w:rsidRPr="006C6123" w:rsidRDefault="002469EA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es-CL" w:eastAsia="es-CL" w:bidi="ar-SA"/>
              </w:rPr>
              <w:t>192.714.620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3A42875E" w14:textId="25B6B9EC" w:rsidR="00C70B61" w:rsidRPr="006C6123" w:rsidRDefault="006C6123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s-CL" w:eastAsia="es-CL" w:bidi="ar-SA"/>
              </w:rPr>
            </w:pPr>
            <w:r w:rsidRPr="006C6123">
              <w:rPr>
                <w:rFonts w:ascii="Calibri" w:eastAsia="Times New Roman" w:hAnsi="Calibri" w:cs="Calibri"/>
                <w:b/>
                <w:bCs/>
                <w:color w:val="000000" w:themeColor="text1"/>
                <w:lang w:val="es-CL" w:eastAsia="es-CL" w:bidi="ar-SA"/>
              </w:rPr>
              <w:t>6</w:t>
            </w:r>
            <w:r w:rsidR="002469EA">
              <w:rPr>
                <w:rFonts w:ascii="Calibri" w:eastAsia="Times New Roman" w:hAnsi="Calibri" w:cs="Calibri"/>
                <w:b/>
                <w:bCs/>
                <w:color w:val="000000" w:themeColor="text1"/>
                <w:lang w:val="es-CL" w:eastAsia="es-CL" w:bidi="ar-SA"/>
              </w:rPr>
              <w:t>6.892.874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254FEF00" w14:textId="03D9EE68" w:rsidR="00C70B61" w:rsidRPr="006C6123" w:rsidRDefault="008C3F58" w:rsidP="00C70B6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val="es-CL" w:eastAsia="es-CL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es-CL" w:eastAsia="es-CL" w:bidi="ar-SA"/>
              </w:rPr>
              <w:t>1.340.944.721</w:t>
            </w:r>
          </w:p>
        </w:tc>
      </w:tr>
      <w:bookmarkEnd w:id="2"/>
    </w:tbl>
    <w:p w14:paraId="75AE3802" w14:textId="77777777" w:rsidR="00FD04AE" w:rsidRDefault="00683132">
      <w:pPr>
        <w:pStyle w:val="Textoindependiente"/>
        <w:rPr>
          <w:b/>
          <w:sz w:val="20"/>
        </w:rPr>
      </w:pPr>
      <w:r>
        <w:rPr>
          <w:b/>
          <w:sz w:val="20"/>
        </w:rPr>
        <w:fldChar w:fldCharType="end"/>
      </w:r>
    </w:p>
    <w:p w14:paraId="36356736" w14:textId="5F07E870" w:rsidR="00FD04AE" w:rsidRDefault="002A213D" w:rsidP="00CE2018">
      <w:pPr>
        <w:ind w:left="782"/>
        <w:rPr>
          <w:sz w:val="9"/>
        </w:rPr>
      </w:pPr>
      <w:r>
        <w:rPr>
          <w:sz w:val="18"/>
        </w:rPr>
        <w:t>(*) Incluye los vinos viníferos corrientes.</w:t>
      </w:r>
      <w:r w:rsidR="00CE2018">
        <w:rPr>
          <w:sz w:val="9"/>
        </w:rPr>
        <w:t xml:space="preserve"> </w:t>
      </w:r>
    </w:p>
    <w:p w14:paraId="0C0275E3" w14:textId="147918E6" w:rsidR="00FD04AE" w:rsidRDefault="00FD04AE">
      <w:pPr>
        <w:rPr>
          <w:rFonts w:ascii="Century Gothic"/>
          <w:sz w:val="16"/>
        </w:rPr>
        <w:sectPr w:rsidR="00FD04AE">
          <w:pgSz w:w="12250" w:h="15850"/>
          <w:pgMar w:top="1500" w:right="600" w:bottom="1380" w:left="1040" w:header="0" w:footer="1193" w:gutter="0"/>
          <w:cols w:space="720"/>
        </w:sectPr>
      </w:pPr>
    </w:p>
    <w:p w14:paraId="55714E25" w14:textId="6D0C79D8" w:rsidR="00FD04AE" w:rsidRDefault="002A213D">
      <w:pPr>
        <w:pStyle w:val="Textoindependiente"/>
        <w:spacing w:before="197"/>
        <w:ind w:left="1370" w:right="1095"/>
        <w:jc w:val="both"/>
      </w:pPr>
      <w:r>
        <w:lastRenderedPageBreak/>
        <w:t xml:space="preserve">Las mayores producciones de vinos se localizan en las regiones del Maule, Libertador Bernardo O’Higgins y Metropolitana respectivamente, totalizando el </w:t>
      </w:r>
      <w:r w:rsidR="00CB6BED">
        <w:t>8</w:t>
      </w:r>
      <w:r w:rsidR="00491074">
        <w:t>8,7</w:t>
      </w:r>
      <w:r w:rsidR="00B60464">
        <w:t>8</w:t>
      </w:r>
      <w:r>
        <w:t xml:space="preserve"> % del total, concentrando en la Región del Maule el 4</w:t>
      </w:r>
      <w:r w:rsidR="00491074">
        <w:t>6,4</w:t>
      </w:r>
      <w:r>
        <w:t>% de la totalidad de vino producido en el país.</w:t>
      </w:r>
    </w:p>
    <w:p w14:paraId="76CFC29F" w14:textId="77777777" w:rsidR="00FD04AE" w:rsidRDefault="00FD04AE">
      <w:pPr>
        <w:pStyle w:val="Textoindependiente"/>
        <w:spacing w:before="5"/>
        <w:rPr>
          <w:sz w:val="35"/>
        </w:rPr>
      </w:pPr>
    </w:p>
    <w:p w14:paraId="55DF49B0" w14:textId="5953A767" w:rsidR="00FD04AE" w:rsidRDefault="00FD04AE" w:rsidP="00C70B61">
      <w:pPr>
        <w:pStyle w:val="Textoindependiente"/>
        <w:jc w:val="center"/>
        <w:rPr>
          <w:b/>
          <w:sz w:val="23"/>
        </w:rPr>
      </w:pPr>
    </w:p>
    <w:p w14:paraId="0AD89EA5" w14:textId="2780C515" w:rsidR="00FD04AE" w:rsidRPr="00B2417D" w:rsidRDefault="002A213D">
      <w:pPr>
        <w:ind w:left="1370"/>
        <w:jc w:val="both"/>
        <w:rPr>
          <w:b/>
        </w:rPr>
      </w:pPr>
      <w:r w:rsidRPr="00B2417D">
        <w:rPr>
          <w:b/>
        </w:rPr>
        <w:t>Producción Vinos con denominación de origen 20</w:t>
      </w:r>
      <w:r w:rsidR="00A3004E" w:rsidRPr="00B2417D">
        <w:rPr>
          <w:b/>
        </w:rPr>
        <w:t>2</w:t>
      </w:r>
      <w:r w:rsidR="0009518B" w:rsidRPr="00B2417D">
        <w:rPr>
          <w:b/>
        </w:rPr>
        <w:t>1</w:t>
      </w:r>
    </w:p>
    <w:p w14:paraId="334AD391" w14:textId="137E9E4A" w:rsidR="00FD04AE" w:rsidRDefault="00FD04AE">
      <w:pPr>
        <w:pStyle w:val="Textoindependiente"/>
        <w:spacing w:before="8"/>
        <w:rPr>
          <w:b/>
          <w:sz w:val="19"/>
        </w:rPr>
      </w:pPr>
    </w:p>
    <w:p w14:paraId="58A34148" w14:textId="46B678F0" w:rsidR="00FD04AE" w:rsidRDefault="002A213D">
      <w:pPr>
        <w:pStyle w:val="Textoindependiente"/>
        <w:ind w:left="1370" w:right="1095"/>
        <w:jc w:val="both"/>
      </w:pPr>
      <w:r>
        <w:t xml:space="preserve">En relación a la producción de vinos con denominación de origen que alcanzó a </w:t>
      </w:r>
      <w:r w:rsidR="00491074">
        <w:rPr>
          <w:b/>
          <w:bCs/>
        </w:rPr>
        <w:t>1.081.337.227</w:t>
      </w:r>
      <w:r w:rsidR="00365575" w:rsidRPr="00434D66">
        <w:rPr>
          <w:rFonts w:eastAsia="Times New Roman" w:cs="Calibri"/>
          <w:b/>
          <w:bCs/>
          <w:color w:val="000000"/>
          <w:lang w:val="es-CL" w:eastAsia="es-CL" w:bidi="ar-SA"/>
        </w:rPr>
        <w:t xml:space="preserve"> </w:t>
      </w:r>
      <w:r>
        <w:t xml:space="preserve">litros, el </w:t>
      </w:r>
      <w:r w:rsidR="007A4E85">
        <w:t>68,4</w:t>
      </w:r>
      <w:r>
        <w:t xml:space="preserve"> equivalente a </w:t>
      </w:r>
      <w:r w:rsidR="007A4E85">
        <w:t>739.090.079</w:t>
      </w:r>
      <w:r>
        <w:t xml:space="preserve"> litros, correspondió a vinos provenientes de </w:t>
      </w:r>
      <w:r w:rsidR="0087319A">
        <w:t>variedades</w:t>
      </w:r>
      <w:r>
        <w:t xml:space="preserve"> tint</w:t>
      </w:r>
      <w:r w:rsidR="00B549EC">
        <w:t>a</w:t>
      </w:r>
      <w:r>
        <w:t>s y el 3</w:t>
      </w:r>
      <w:r w:rsidR="007A4E85">
        <w:t>1,6</w:t>
      </w:r>
      <w:r>
        <w:t xml:space="preserve">% equivalente a </w:t>
      </w:r>
      <w:r w:rsidR="000A7129">
        <w:t>3</w:t>
      </w:r>
      <w:r w:rsidR="007A4E85">
        <w:t>42.247.148</w:t>
      </w:r>
      <w:r>
        <w:t xml:space="preserve"> litros, a vinos provenientes de </w:t>
      </w:r>
      <w:r w:rsidR="0087319A">
        <w:t xml:space="preserve">variedades </w:t>
      </w:r>
      <w:r>
        <w:t>blanc</w:t>
      </w:r>
      <w:r w:rsidR="0087319A">
        <w:t>a</w:t>
      </w:r>
      <w:r>
        <w:t>s.</w:t>
      </w:r>
    </w:p>
    <w:p w14:paraId="0A0C5EAC" w14:textId="075AFA14" w:rsidR="00FD04AE" w:rsidRDefault="00FD04AE">
      <w:pPr>
        <w:pStyle w:val="Textoindependiente"/>
        <w:spacing w:before="10"/>
        <w:rPr>
          <w:sz w:val="19"/>
        </w:rPr>
      </w:pPr>
    </w:p>
    <w:p w14:paraId="67BFB0DF" w14:textId="46405C81" w:rsidR="00FD04AE" w:rsidRPr="00D0751C" w:rsidRDefault="002A213D" w:rsidP="00D0751C">
      <w:pPr>
        <w:pStyle w:val="Textoindependiente"/>
        <w:ind w:left="1370" w:right="1095"/>
        <w:jc w:val="both"/>
        <w:rPr>
          <w:sz w:val="23"/>
        </w:rPr>
      </w:pPr>
      <w:r>
        <w:t xml:space="preserve">Al analizar las producciones en relación a los tipos de </w:t>
      </w:r>
      <w:proofErr w:type="spellStart"/>
      <w:r>
        <w:t>cepajes</w:t>
      </w:r>
      <w:proofErr w:type="spellEnd"/>
      <w:r>
        <w:t xml:space="preserve">, </w:t>
      </w:r>
      <w:bookmarkStart w:id="6" w:name="_Hlk75358640"/>
      <w:r>
        <w:t xml:space="preserve">el Cabernet </w:t>
      </w:r>
      <w:r w:rsidR="00D0751C">
        <w:t>S</w:t>
      </w:r>
      <w:r>
        <w:t>auvignon alcanza el 3</w:t>
      </w:r>
      <w:r w:rsidR="00D0751C">
        <w:t>3</w:t>
      </w:r>
      <w:r>
        <w:t xml:space="preserve">% de la producción total de vinos con DO, seguido de Sauvignon </w:t>
      </w:r>
      <w:r w:rsidR="00D0751C">
        <w:t>B</w:t>
      </w:r>
      <w:r>
        <w:t>lanc con un 1</w:t>
      </w:r>
      <w:r w:rsidR="00D0751C">
        <w:t>3</w:t>
      </w:r>
      <w:r>
        <w:t>%, Merlot con el 1</w:t>
      </w:r>
      <w:r w:rsidR="0007572D">
        <w:t>2</w:t>
      </w:r>
      <w:r>
        <w:t>%,</w:t>
      </w:r>
      <w:r w:rsidR="00D0751C">
        <w:t xml:space="preserve"> </w:t>
      </w:r>
      <w:r>
        <w:t xml:space="preserve">Chardonnay con un </w:t>
      </w:r>
      <w:r w:rsidR="0007572D">
        <w:t>10</w:t>
      </w:r>
      <w:r>
        <w:t xml:space="preserve">%, Carmenere con un </w:t>
      </w:r>
      <w:r w:rsidR="00D0751C">
        <w:t>8</w:t>
      </w:r>
      <w:r>
        <w:t xml:space="preserve"> % y la variedad Syrah con un</w:t>
      </w:r>
      <w:r w:rsidR="00487609">
        <w:t xml:space="preserve"> 5</w:t>
      </w:r>
      <w:r>
        <w:t>%.</w:t>
      </w:r>
    </w:p>
    <w:bookmarkEnd w:id="6"/>
    <w:p w14:paraId="5FB1219A" w14:textId="3F6F1E06" w:rsidR="003945B6" w:rsidRDefault="003945B6">
      <w:pPr>
        <w:pStyle w:val="Textoindependiente"/>
        <w:spacing w:before="197"/>
        <w:ind w:left="1370" w:right="867"/>
      </w:pPr>
    </w:p>
    <w:p w14:paraId="25E6C574" w14:textId="1D2A05EF" w:rsidR="00FD04AE" w:rsidRPr="003945B6" w:rsidRDefault="002A213D">
      <w:pPr>
        <w:ind w:left="1370"/>
        <w:rPr>
          <w:bCs/>
          <w:sz w:val="20"/>
          <w:szCs w:val="20"/>
        </w:rPr>
      </w:pPr>
      <w:r w:rsidRPr="003945B6">
        <w:rPr>
          <w:bCs/>
          <w:sz w:val="20"/>
          <w:szCs w:val="20"/>
        </w:rPr>
        <w:t>Gráfico</w:t>
      </w:r>
      <w:r w:rsidR="003945B6" w:rsidRPr="003945B6">
        <w:rPr>
          <w:bCs/>
          <w:sz w:val="20"/>
          <w:szCs w:val="20"/>
        </w:rPr>
        <w:t xml:space="preserve"> 1. </w:t>
      </w:r>
      <w:r w:rsidRPr="003945B6">
        <w:rPr>
          <w:bCs/>
          <w:sz w:val="20"/>
          <w:szCs w:val="20"/>
        </w:rPr>
        <w:t>10 variedades más declaradas (Litros)</w:t>
      </w:r>
    </w:p>
    <w:p w14:paraId="77F0F64C" w14:textId="1B854064" w:rsidR="003945B6" w:rsidRDefault="0007572D">
      <w:pPr>
        <w:ind w:left="1370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6C535F47" wp14:editId="602E3BB7">
            <wp:simplePos x="0" y="0"/>
            <wp:positionH relativeFrom="margin">
              <wp:posOffset>854075</wp:posOffset>
            </wp:positionH>
            <wp:positionV relativeFrom="paragraph">
              <wp:posOffset>164465</wp:posOffset>
            </wp:positionV>
            <wp:extent cx="5314950" cy="3479800"/>
            <wp:effectExtent l="0" t="0" r="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47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97E5E" w14:textId="1555E7C2" w:rsidR="003945B6" w:rsidRDefault="003945B6">
      <w:pPr>
        <w:ind w:left="1370"/>
      </w:pPr>
    </w:p>
    <w:p w14:paraId="2131AEDC" w14:textId="1447A4AD" w:rsidR="001433AF" w:rsidRDefault="001433AF">
      <w:pPr>
        <w:ind w:left="1370"/>
      </w:pPr>
    </w:p>
    <w:p w14:paraId="487FB80E" w14:textId="77777777" w:rsidR="00FD04AE" w:rsidRDefault="00FD04AE">
      <w:pPr>
        <w:rPr>
          <w:rFonts w:ascii="Century Gothic"/>
          <w:sz w:val="16"/>
        </w:rPr>
      </w:pPr>
    </w:p>
    <w:p w14:paraId="2467F1C4" w14:textId="77777777" w:rsidR="00B2417D" w:rsidRDefault="00B2417D">
      <w:pPr>
        <w:rPr>
          <w:rFonts w:ascii="Century Gothic"/>
          <w:sz w:val="16"/>
        </w:rPr>
      </w:pPr>
    </w:p>
    <w:p w14:paraId="5A75DD7B" w14:textId="77777777" w:rsidR="0007572D" w:rsidRDefault="0007572D" w:rsidP="00B2417D">
      <w:pPr>
        <w:pStyle w:val="Textoindependiente"/>
        <w:rPr>
          <w:b/>
          <w:sz w:val="23"/>
        </w:rPr>
      </w:pPr>
    </w:p>
    <w:p w14:paraId="080CB16A" w14:textId="77777777" w:rsidR="0007572D" w:rsidRDefault="0007572D" w:rsidP="00B2417D">
      <w:pPr>
        <w:pStyle w:val="Textoindependiente"/>
        <w:rPr>
          <w:b/>
          <w:sz w:val="23"/>
        </w:rPr>
      </w:pPr>
    </w:p>
    <w:p w14:paraId="74845620" w14:textId="77777777" w:rsidR="0007572D" w:rsidRDefault="0007572D" w:rsidP="00B2417D">
      <w:pPr>
        <w:pStyle w:val="Textoindependiente"/>
        <w:rPr>
          <w:b/>
          <w:sz w:val="23"/>
        </w:rPr>
      </w:pPr>
    </w:p>
    <w:p w14:paraId="6F0551EE" w14:textId="77777777" w:rsidR="0007572D" w:rsidRDefault="0007572D" w:rsidP="00B2417D">
      <w:pPr>
        <w:pStyle w:val="Textoindependiente"/>
        <w:rPr>
          <w:b/>
          <w:sz w:val="23"/>
        </w:rPr>
      </w:pPr>
    </w:p>
    <w:p w14:paraId="3C124631" w14:textId="77777777" w:rsidR="0007572D" w:rsidRDefault="0007572D" w:rsidP="00B2417D">
      <w:pPr>
        <w:pStyle w:val="Textoindependiente"/>
        <w:rPr>
          <w:b/>
          <w:sz w:val="23"/>
        </w:rPr>
      </w:pPr>
    </w:p>
    <w:p w14:paraId="52F3464F" w14:textId="77777777" w:rsidR="0007572D" w:rsidRDefault="0007572D" w:rsidP="00B2417D">
      <w:pPr>
        <w:pStyle w:val="Textoindependiente"/>
        <w:rPr>
          <w:b/>
          <w:sz w:val="23"/>
        </w:rPr>
      </w:pPr>
    </w:p>
    <w:p w14:paraId="15142CD9" w14:textId="77777777" w:rsidR="0007572D" w:rsidRDefault="0007572D" w:rsidP="00B2417D">
      <w:pPr>
        <w:pStyle w:val="Textoindependiente"/>
        <w:rPr>
          <w:b/>
          <w:sz w:val="23"/>
        </w:rPr>
      </w:pPr>
    </w:p>
    <w:p w14:paraId="77A11B6D" w14:textId="77777777" w:rsidR="0007572D" w:rsidRDefault="0007572D" w:rsidP="00B2417D">
      <w:pPr>
        <w:pStyle w:val="Textoindependiente"/>
        <w:rPr>
          <w:b/>
          <w:sz w:val="23"/>
        </w:rPr>
      </w:pPr>
    </w:p>
    <w:p w14:paraId="526303B4" w14:textId="77777777" w:rsidR="0007572D" w:rsidRDefault="0007572D" w:rsidP="00B2417D">
      <w:pPr>
        <w:pStyle w:val="Textoindependiente"/>
        <w:rPr>
          <w:b/>
          <w:sz w:val="23"/>
        </w:rPr>
      </w:pPr>
    </w:p>
    <w:p w14:paraId="6B5482C1" w14:textId="77777777" w:rsidR="0007572D" w:rsidRDefault="0007572D" w:rsidP="00B2417D">
      <w:pPr>
        <w:pStyle w:val="Textoindependiente"/>
        <w:rPr>
          <w:b/>
          <w:sz w:val="23"/>
        </w:rPr>
      </w:pPr>
    </w:p>
    <w:p w14:paraId="56A7A617" w14:textId="77777777" w:rsidR="0007572D" w:rsidRDefault="0007572D" w:rsidP="00B2417D">
      <w:pPr>
        <w:pStyle w:val="Textoindependiente"/>
        <w:rPr>
          <w:b/>
          <w:sz w:val="23"/>
        </w:rPr>
      </w:pPr>
    </w:p>
    <w:p w14:paraId="05771654" w14:textId="77777777" w:rsidR="0007572D" w:rsidRDefault="0007572D" w:rsidP="00B2417D">
      <w:pPr>
        <w:pStyle w:val="Textoindependiente"/>
        <w:rPr>
          <w:b/>
          <w:sz w:val="23"/>
        </w:rPr>
      </w:pPr>
    </w:p>
    <w:p w14:paraId="566F107E" w14:textId="77777777" w:rsidR="0007572D" w:rsidRDefault="0007572D" w:rsidP="00B2417D">
      <w:pPr>
        <w:pStyle w:val="Textoindependiente"/>
        <w:rPr>
          <w:b/>
          <w:sz w:val="23"/>
        </w:rPr>
      </w:pPr>
    </w:p>
    <w:p w14:paraId="797C002B" w14:textId="77777777" w:rsidR="0007572D" w:rsidRDefault="0007572D" w:rsidP="00B2417D">
      <w:pPr>
        <w:pStyle w:val="Textoindependiente"/>
        <w:rPr>
          <w:b/>
          <w:sz w:val="23"/>
        </w:rPr>
      </w:pPr>
    </w:p>
    <w:p w14:paraId="3F22A2A5" w14:textId="77777777" w:rsidR="0007572D" w:rsidRDefault="0007572D" w:rsidP="00B2417D">
      <w:pPr>
        <w:pStyle w:val="Textoindependiente"/>
        <w:rPr>
          <w:b/>
          <w:sz w:val="23"/>
        </w:rPr>
      </w:pPr>
    </w:p>
    <w:p w14:paraId="0E0C7C38" w14:textId="77777777" w:rsidR="0007572D" w:rsidRDefault="0007572D" w:rsidP="00B2417D">
      <w:pPr>
        <w:pStyle w:val="Textoindependiente"/>
        <w:rPr>
          <w:b/>
          <w:sz w:val="23"/>
        </w:rPr>
      </w:pPr>
    </w:p>
    <w:p w14:paraId="42B2B5EF" w14:textId="2EC671E7" w:rsidR="00B2417D" w:rsidRDefault="00B2417D" w:rsidP="00B2417D">
      <w:pPr>
        <w:pStyle w:val="Textoindependiente"/>
        <w:rPr>
          <w:b/>
          <w:sz w:val="23"/>
        </w:rPr>
      </w:pPr>
      <w:r>
        <w:rPr>
          <w:b/>
          <w:sz w:val="23"/>
        </w:rPr>
        <w:lastRenderedPageBreak/>
        <w:t xml:space="preserve">         </w:t>
      </w:r>
      <w:r w:rsidRPr="00B2417D">
        <w:rPr>
          <w:b/>
          <w:sz w:val="23"/>
        </w:rPr>
        <w:t xml:space="preserve">Comparación de </w:t>
      </w:r>
      <w:r>
        <w:rPr>
          <w:b/>
          <w:sz w:val="23"/>
        </w:rPr>
        <w:t xml:space="preserve">Cosecha </w:t>
      </w:r>
      <w:r w:rsidRPr="00B2417D">
        <w:rPr>
          <w:b/>
          <w:sz w:val="23"/>
        </w:rPr>
        <w:t>de Vinos años 20</w:t>
      </w:r>
      <w:r>
        <w:rPr>
          <w:b/>
          <w:sz w:val="23"/>
        </w:rPr>
        <w:t>20-2021</w:t>
      </w:r>
      <w:r w:rsidRPr="00B2417D">
        <w:rPr>
          <w:b/>
          <w:sz w:val="23"/>
        </w:rPr>
        <w:t>.</w:t>
      </w:r>
    </w:p>
    <w:p w14:paraId="300AB942" w14:textId="77777777" w:rsidR="00B2417D" w:rsidRPr="00B2417D" w:rsidRDefault="00B2417D" w:rsidP="00B2417D">
      <w:pPr>
        <w:pStyle w:val="Textoindependiente"/>
        <w:rPr>
          <w:b/>
          <w:sz w:val="23"/>
        </w:rPr>
      </w:pPr>
    </w:p>
    <w:p w14:paraId="5CFA6179" w14:textId="344FBE4E" w:rsidR="00B2417D" w:rsidRPr="00086D34" w:rsidRDefault="00B2417D" w:rsidP="00B2417D">
      <w:pPr>
        <w:ind w:left="708"/>
        <w:jc w:val="both"/>
        <w:rPr>
          <w:lang w:eastAsia="ar-SA"/>
        </w:rPr>
      </w:pPr>
      <w:bookmarkStart w:id="7" w:name="_Hlk62331321"/>
      <w:r w:rsidRPr="00086D34">
        <w:rPr>
          <w:lang w:eastAsia="ar-SA"/>
        </w:rPr>
        <w:t>La</w:t>
      </w:r>
      <w:r w:rsidR="00DA6F76">
        <w:rPr>
          <w:lang w:eastAsia="ar-SA"/>
        </w:rPr>
        <w:t xml:space="preserve"> cosecha </w:t>
      </w:r>
      <w:r w:rsidRPr="00086D34">
        <w:rPr>
          <w:lang w:eastAsia="ar-SA"/>
        </w:rPr>
        <w:t xml:space="preserve">total de vinos a granel </w:t>
      </w:r>
      <w:r w:rsidR="00DA6F76">
        <w:rPr>
          <w:lang w:eastAsia="ar-SA"/>
        </w:rPr>
        <w:t>año 2021</w:t>
      </w:r>
      <w:r w:rsidRPr="00086D34">
        <w:rPr>
          <w:lang w:eastAsia="ar-SA"/>
        </w:rPr>
        <w:t xml:space="preserve">, </w:t>
      </w:r>
      <w:r>
        <w:rPr>
          <w:lang w:eastAsia="ar-SA"/>
        </w:rPr>
        <w:t xml:space="preserve">a la fecha de cierre de este informe, y </w:t>
      </w:r>
      <w:r w:rsidRPr="00086D34">
        <w:rPr>
          <w:lang w:eastAsia="ar-SA"/>
        </w:rPr>
        <w:t xml:space="preserve">excluido el vino para pisco, </w:t>
      </w:r>
      <w:bookmarkStart w:id="8" w:name="_Hlk75358398"/>
      <w:r w:rsidR="00CA3DD0">
        <w:rPr>
          <w:lang w:eastAsia="ar-SA"/>
        </w:rPr>
        <w:t xml:space="preserve">correspondiente </w:t>
      </w:r>
      <w:r w:rsidR="00CA3DD0" w:rsidRPr="00CA3DD0">
        <w:t>1.340.944.721</w:t>
      </w:r>
      <w:r w:rsidR="00CA3DD0" w:rsidRPr="00434D66">
        <w:t xml:space="preserve"> </w:t>
      </w:r>
      <w:r w:rsidR="00CA3DD0">
        <w:t xml:space="preserve">litros, </w:t>
      </w:r>
      <w:r>
        <w:rPr>
          <w:lang w:eastAsia="ar-SA"/>
        </w:rPr>
        <w:t xml:space="preserve">ha </w:t>
      </w:r>
      <w:r w:rsidR="004F57E0">
        <w:rPr>
          <w:lang w:eastAsia="ar-SA"/>
        </w:rPr>
        <w:t>aumentado</w:t>
      </w:r>
      <w:r>
        <w:rPr>
          <w:lang w:eastAsia="ar-SA"/>
        </w:rPr>
        <w:t xml:space="preserve"> </w:t>
      </w:r>
      <w:r w:rsidRPr="00086D34">
        <w:rPr>
          <w:lang w:eastAsia="ar-SA"/>
        </w:rPr>
        <w:t>un</w:t>
      </w:r>
      <w:r w:rsidR="004F57E0">
        <w:rPr>
          <w:lang w:eastAsia="ar-SA"/>
        </w:rPr>
        <w:t xml:space="preserve"> 2</w:t>
      </w:r>
      <w:r w:rsidR="00CA3DD0">
        <w:rPr>
          <w:lang w:eastAsia="ar-SA"/>
        </w:rPr>
        <w:t>9</w:t>
      </w:r>
      <w:r w:rsidR="004F57E0">
        <w:rPr>
          <w:lang w:eastAsia="ar-SA"/>
        </w:rPr>
        <w:t>,7</w:t>
      </w:r>
      <w:r>
        <w:rPr>
          <w:lang w:eastAsia="ar-SA"/>
        </w:rPr>
        <w:t>% respecto a la</w:t>
      </w:r>
      <w:r w:rsidR="009559E8">
        <w:rPr>
          <w:lang w:eastAsia="ar-SA"/>
        </w:rPr>
        <w:t xml:space="preserve"> producción de vinos del año 2020 (1.033.722.888</w:t>
      </w:r>
      <w:r>
        <w:rPr>
          <w:lang w:eastAsia="ar-SA"/>
        </w:rPr>
        <w:t xml:space="preserve"> litros).</w:t>
      </w:r>
    </w:p>
    <w:bookmarkEnd w:id="8"/>
    <w:p w14:paraId="0C7A3C05" w14:textId="77777777" w:rsidR="00B2417D" w:rsidRPr="00086D34" w:rsidRDefault="00B2417D" w:rsidP="00B2417D">
      <w:pPr>
        <w:ind w:left="708"/>
        <w:jc w:val="both"/>
        <w:rPr>
          <w:lang w:eastAsia="ar-SA"/>
        </w:rPr>
      </w:pPr>
    </w:p>
    <w:p w14:paraId="485D5638" w14:textId="53620DF5" w:rsidR="00B2417D" w:rsidRPr="00086D34" w:rsidRDefault="00B2417D" w:rsidP="00B2417D">
      <w:pPr>
        <w:ind w:left="708"/>
        <w:jc w:val="both"/>
        <w:rPr>
          <w:lang w:eastAsia="ar-SA"/>
        </w:rPr>
      </w:pPr>
      <w:r>
        <w:rPr>
          <w:lang w:eastAsia="ar-SA"/>
        </w:rPr>
        <w:t>Con relación a l</w:t>
      </w:r>
      <w:r w:rsidRPr="00086D34">
        <w:rPr>
          <w:lang w:eastAsia="ar-SA"/>
        </w:rPr>
        <w:t xml:space="preserve">os vinos a granel con </w:t>
      </w:r>
      <w:r>
        <w:rPr>
          <w:lang w:eastAsia="ar-SA"/>
        </w:rPr>
        <w:t xml:space="preserve">denominación de origen, </w:t>
      </w:r>
      <w:r w:rsidR="004F57E0">
        <w:rPr>
          <w:lang w:eastAsia="ar-SA"/>
        </w:rPr>
        <w:t>aumentaron</w:t>
      </w:r>
      <w:r>
        <w:rPr>
          <w:lang w:eastAsia="ar-SA"/>
        </w:rPr>
        <w:t xml:space="preserve"> un </w:t>
      </w:r>
      <w:r w:rsidR="004F57E0">
        <w:rPr>
          <w:lang w:eastAsia="ar-SA"/>
        </w:rPr>
        <w:t>21,7</w:t>
      </w:r>
      <w:r>
        <w:rPr>
          <w:lang w:eastAsia="ar-SA"/>
        </w:rPr>
        <w:t>%</w:t>
      </w:r>
      <w:r w:rsidRPr="00086D34">
        <w:rPr>
          <w:lang w:eastAsia="ar-SA"/>
        </w:rPr>
        <w:t xml:space="preserve"> desde </w:t>
      </w:r>
      <w:r w:rsidR="009559E8">
        <w:rPr>
          <w:lang w:eastAsia="ar-SA"/>
        </w:rPr>
        <w:t>888.206.705</w:t>
      </w:r>
      <w:r w:rsidRPr="00086D34">
        <w:rPr>
          <w:lang w:eastAsia="ar-SA"/>
        </w:rPr>
        <w:t xml:space="preserve"> litros en </w:t>
      </w:r>
      <w:r>
        <w:rPr>
          <w:lang w:eastAsia="ar-SA"/>
        </w:rPr>
        <w:t>la</w:t>
      </w:r>
      <w:r w:rsidR="009559E8">
        <w:rPr>
          <w:lang w:eastAsia="ar-SA"/>
        </w:rPr>
        <w:t xml:space="preserve"> cosecha de vinos d</w:t>
      </w:r>
      <w:r w:rsidRPr="00086D34">
        <w:rPr>
          <w:lang w:eastAsia="ar-SA"/>
        </w:rPr>
        <w:t>el 20</w:t>
      </w:r>
      <w:r>
        <w:rPr>
          <w:lang w:eastAsia="ar-SA"/>
        </w:rPr>
        <w:t>20</w:t>
      </w:r>
      <w:r w:rsidRPr="00086D34">
        <w:rPr>
          <w:lang w:eastAsia="ar-SA"/>
        </w:rPr>
        <w:t xml:space="preserve"> </w:t>
      </w:r>
      <w:r>
        <w:rPr>
          <w:lang w:eastAsia="ar-SA"/>
        </w:rPr>
        <w:t xml:space="preserve">respecto de los </w:t>
      </w:r>
      <w:r w:rsidR="004F57E0" w:rsidRPr="004F57E0">
        <w:t>1.081.337.227</w:t>
      </w:r>
      <w:r w:rsidR="004F57E0" w:rsidRPr="00434D66">
        <w:rPr>
          <w:rFonts w:eastAsia="Times New Roman" w:cs="Calibri"/>
          <w:b/>
          <w:bCs/>
          <w:color w:val="000000"/>
          <w:lang w:val="es-CL" w:eastAsia="es-CL" w:bidi="ar-SA"/>
        </w:rPr>
        <w:t xml:space="preserve"> </w:t>
      </w:r>
      <w:r w:rsidRPr="00086D34">
        <w:rPr>
          <w:lang w:eastAsia="ar-SA"/>
        </w:rPr>
        <w:t>litros</w:t>
      </w:r>
      <w:r>
        <w:rPr>
          <w:lang w:eastAsia="ar-SA"/>
        </w:rPr>
        <w:t xml:space="preserve"> </w:t>
      </w:r>
      <w:r w:rsidR="009559E8">
        <w:rPr>
          <w:lang w:eastAsia="ar-SA"/>
        </w:rPr>
        <w:t>producidos en el 2021</w:t>
      </w:r>
      <w:r w:rsidRPr="00086D34">
        <w:rPr>
          <w:lang w:eastAsia="ar-SA"/>
        </w:rPr>
        <w:t>.</w:t>
      </w:r>
    </w:p>
    <w:p w14:paraId="3FC18A58" w14:textId="77777777" w:rsidR="00B2417D" w:rsidRPr="00086D34" w:rsidRDefault="00B2417D" w:rsidP="00B2417D">
      <w:pPr>
        <w:ind w:left="708"/>
        <w:jc w:val="both"/>
        <w:rPr>
          <w:lang w:eastAsia="ar-SA"/>
        </w:rPr>
      </w:pPr>
    </w:p>
    <w:p w14:paraId="7EE5304D" w14:textId="0AD603F4" w:rsidR="00B2417D" w:rsidRPr="00086D34" w:rsidRDefault="00B2417D" w:rsidP="00B2417D">
      <w:pPr>
        <w:ind w:left="708"/>
        <w:jc w:val="both"/>
        <w:rPr>
          <w:lang w:eastAsia="ar-SA"/>
        </w:rPr>
      </w:pPr>
      <w:r>
        <w:rPr>
          <w:lang w:eastAsia="ar-SA"/>
        </w:rPr>
        <w:t>Respecto a los</w:t>
      </w:r>
      <w:r w:rsidRPr="00086D34">
        <w:rPr>
          <w:lang w:eastAsia="ar-SA"/>
        </w:rPr>
        <w:t xml:space="preserve"> vinos a granel sin </w:t>
      </w:r>
      <w:r>
        <w:rPr>
          <w:lang w:eastAsia="ar-SA"/>
        </w:rPr>
        <w:t xml:space="preserve">denominación de origen, estos </w:t>
      </w:r>
      <w:r w:rsidR="00AA367F">
        <w:rPr>
          <w:lang w:eastAsia="ar-SA"/>
        </w:rPr>
        <w:t xml:space="preserve">aumentaron </w:t>
      </w:r>
      <w:r>
        <w:rPr>
          <w:lang w:eastAsia="ar-SA"/>
        </w:rPr>
        <w:t xml:space="preserve">un </w:t>
      </w:r>
      <w:r w:rsidR="004F57E0">
        <w:rPr>
          <w:lang w:eastAsia="ar-SA"/>
        </w:rPr>
        <w:t>58</w:t>
      </w:r>
      <w:r>
        <w:rPr>
          <w:lang w:eastAsia="ar-SA"/>
        </w:rPr>
        <w:t xml:space="preserve">%, pasando de </w:t>
      </w:r>
      <w:r w:rsidR="00AA367F">
        <w:rPr>
          <w:lang w:eastAsia="ar-SA"/>
        </w:rPr>
        <w:t>121.987.575</w:t>
      </w:r>
      <w:r>
        <w:rPr>
          <w:lang w:eastAsia="ar-SA"/>
        </w:rPr>
        <w:t xml:space="preserve"> litros en </w:t>
      </w:r>
      <w:r w:rsidR="00AA367F">
        <w:rPr>
          <w:lang w:eastAsia="ar-SA"/>
        </w:rPr>
        <w:t>la cosecha 2020</w:t>
      </w:r>
      <w:r>
        <w:rPr>
          <w:lang w:eastAsia="ar-SA"/>
        </w:rPr>
        <w:t xml:space="preserve"> a </w:t>
      </w:r>
      <w:r w:rsidR="004F57E0" w:rsidRPr="004F57E0">
        <w:rPr>
          <w:rFonts w:eastAsia="Times New Roman" w:cs="Calibri"/>
          <w:color w:val="000000"/>
          <w:lang w:val="es-CL" w:eastAsia="es-CL" w:bidi="ar-SA"/>
        </w:rPr>
        <w:t>192.714.620</w:t>
      </w:r>
      <w:r w:rsidR="004F57E0" w:rsidRPr="00434D66">
        <w:t xml:space="preserve"> </w:t>
      </w:r>
      <w:r>
        <w:rPr>
          <w:lang w:eastAsia="ar-SA"/>
        </w:rPr>
        <w:t>litros en l</w:t>
      </w:r>
      <w:r w:rsidR="00AA367F">
        <w:rPr>
          <w:lang w:eastAsia="ar-SA"/>
        </w:rPr>
        <w:t xml:space="preserve">as </w:t>
      </w:r>
      <w:r>
        <w:rPr>
          <w:lang w:eastAsia="ar-SA"/>
        </w:rPr>
        <w:t>declara</w:t>
      </w:r>
      <w:r w:rsidR="00AA367F">
        <w:rPr>
          <w:lang w:eastAsia="ar-SA"/>
        </w:rPr>
        <w:t>ciones del año 2021</w:t>
      </w:r>
      <w:r w:rsidRPr="00086D34">
        <w:rPr>
          <w:lang w:eastAsia="ar-SA"/>
        </w:rPr>
        <w:t>.</w:t>
      </w:r>
    </w:p>
    <w:p w14:paraId="397AEE1D" w14:textId="77777777" w:rsidR="00B2417D" w:rsidRPr="00086D34" w:rsidRDefault="00B2417D" w:rsidP="00B2417D">
      <w:pPr>
        <w:ind w:left="708"/>
        <w:jc w:val="both"/>
        <w:rPr>
          <w:lang w:eastAsia="ar-SA"/>
        </w:rPr>
      </w:pPr>
    </w:p>
    <w:p w14:paraId="3C0D96FE" w14:textId="5590266B" w:rsidR="00B2417D" w:rsidRPr="00086D34" w:rsidRDefault="00B2417D" w:rsidP="00B2417D">
      <w:pPr>
        <w:ind w:left="708"/>
        <w:jc w:val="both"/>
        <w:rPr>
          <w:lang w:eastAsia="ar-SA"/>
        </w:rPr>
      </w:pPr>
      <w:r>
        <w:rPr>
          <w:lang w:eastAsia="ar-SA"/>
        </w:rPr>
        <w:t>Por su parte, los</w:t>
      </w:r>
      <w:r w:rsidRPr="00086D34">
        <w:rPr>
          <w:lang w:eastAsia="ar-SA"/>
        </w:rPr>
        <w:t xml:space="preserve"> vinos </w:t>
      </w:r>
      <w:r>
        <w:rPr>
          <w:lang w:eastAsia="ar-SA"/>
        </w:rPr>
        <w:t xml:space="preserve">elaborados con </w:t>
      </w:r>
      <w:r w:rsidRPr="00086D34">
        <w:rPr>
          <w:lang w:eastAsia="ar-SA"/>
        </w:rPr>
        <w:t xml:space="preserve">uva de mesa </w:t>
      </w:r>
      <w:r w:rsidR="00AA367F">
        <w:rPr>
          <w:lang w:eastAsia="ar-SA"/>
        </w:rPr>
        <w:t xml:space="preserve">incrementaron su producción </w:t>
      </w:r>
      <w:r>
        <w:rPr>
          <w:lang w:eastAsia="ar-SA"/>
        </w:rPr>
        <w:t>en un</w:t>
      </w:r>
      <w:r w:rsidR="004F57E0">
        <w:rPr>
          <w:lang w:eastAsia="ar-SA"/>
        </w:rPr>
        <w:t xml:space="preserve"> 184,3%</w:t>
      </w:r>
      <w:r>
        <w:rPr>
          <w:lang w:eastAsia="ar-SA"/>
        </w:rPr>
        <w:t xml:space="preserve"> respecto del 20</w:t>
      </w:r>
      <w:r w:rsidR="00AA367F">
        <w:rPr>
          <w:lang w:eastAsia="ar-SA"/>
        </w:rPr>
        <w:t>20</w:t>
      </w:r>
      <w:r>
        <w:rPr>
          <w:lang w:eastAsia="ar-SA"/>
        </w:rPr>
        <w:t xml:space="preserve">, </w:t>
      </w:r>
      <w:r w:rsidR="00AA367F">
        <w:rPr>
          <w:lang w:eastAsia="ar-SA"/>
        </w:rPr>
        <w:t xml:space="preserve">aumentando </w:t>
      </w:r>
      <w:r>
        <w:rPr>
          <w:lang w:eastAsia="ar-SA"/>
        </w:rPr>
        <w:t>de 2</w:t>
      </w:r>
      <w:r w:rsidR="00AA367F">
        <w:rPr>
          <w:lang w:eastAsia="ar-SA"/>
        </w:rPr>
        <w:t>3.528.608</w:t>
      </w:r>
      <w:r>
        <w:rPr>
          <w:lang w:eastAsia="ar-SA"/>
        </w:rPr>
        <w:t xml:space="preserve"> litros en el 20</w:t>
      </w:r>
      <w:r w:rsidR="00AA367F">
        <w:rPr>
          <w:lang w:eastAsia="ar-SA"/>
        </w:rPr>
        <w:t>20</w:t>
      </w:r>
      <w:r>
        <w:rPr>
          <w:lang w:eastAsia="ar-SA"/>
        </w:rPr>
        <w:t xml:space="preserve"> a </w:t>
      </w:r>
      <w:r w:rsidR="004F57E0" w:rsidRPr="00CA3DD0">
        <w:rPr>
          <w:rFonts w:eastAsia="Times New Roman" w:cs="Calibri"/>
          <w:color w:val="000000"/>
          <w:lang w:val="es-CL" w:eastAsia="es-CL" w:bidi="ar-SA"/>
        </w:rPr>
        <w:t>66.892.874</w:t>
      </w:r>
      <w:r w:rsidR="004F57E0" w:rsidRPr="00434D66">
        <w:rPr>
          <w:rFonts w:eastAsia="Times New Roman" w:cs="Calibri"/>
          <w:b/>
          <w:bCs/>
          <w:color w:val="000000"/>
          <w:lang w:val="es-CL" w:eastAsia="es-CL" w:bidi="ar-SA"/>
        </w:rPr>
        <w:t xml:space="preserve"> </w:t>
      </w:r>
      <w:r>
        <w:rPr>
          <w:lang w:eastAsia="ar-SA"/>
        </w:rPr>
        <w:t>litros en la</w:t>
      </w:r>
      <w:r w:rsidR="00AA367F">
        <w:rPr>
          <w:lang w:eastAsia="ar-SA"/>
        </w:rPr>
        <w:t xml:space="preserve"> cosecha de vinos 2021</w:t>
      </w:r>
      <w:r w:rsidRPr="00086D34">
        <w:rPr>
          <w:lang w:eastAsia="ar-SA"/>
        </w:rPr>
        <w:t>.</w:t>
      </w:r>
    </w:p>
    <w:p w14:paraId="70665A8C" w14:textId="77777777" w:rsidR="00B2417D" w:rsidRPr="00086D34" w:rsidRDefault="00B2417D" w:rsidP="00B2417D">
      <w:pPr>
        <w:ind w:left="708"/>
        <w:jc w:val="both"/>
        <w:rPr>
          <w:lang w:eastAsia="ar-SA"/>
        </w:rPr>
      </w:pPr>
    </w:p>
    <w:p w14:paraId="21ACA99E" w14:textId="7CC351E6" w:rsidR="00B2417D" w:rsidRPr="00086D34" w:rsidRDefault="00B2417D" w:rsidP="00B2417D">
      <w:pPr>
        <w:ind w:left="708"/>
        <w:jc w:val="both"/>
        <w:rPr>
          <w:lang w:eastAsia="ar-SA"/>
        </w:rPr>
      </w:pPr>
      <w:bookmarkStart w:id="9" w:name="_Hlk75358586"/>
      <w:r>
        <w:rPr>
          <w:lang w:eastAsia="ar-SA"/>
        </w:rPr>
        <w:t xml:space="preserve">En lo que respecta a los </w:t>
      </w:r>
      <w:r w:rsidRPr="00086D34">
        <w:rPr>
          <w:lang w:eastAsia="ar-SA"/>
        </w:rPr>
        <w:t xml:space="preserve">vinos a granel de variedades de uva para pisco </w:t>
      </w:r>
      <w:r w:rsidR="00AA367F">
        <w:rPr>
          <w:lang w:eastAsia="ar-SA"/>
        </w:rPr>
        <w:t>disminuyeron</w:t>
      </w:r>
      <w:r w:rsidRPr="00086D34">
        <w:rPr>
          <w:lang w:eastAsia="ar-SA"/>
        </w:rPr>
        <w:t xml:space="preserve"> </w:t>
      </w:r>
      <w:r>
        <w:rPr>
          <w:lang w:eastAsia="ar-SA"/>
        </w:rPr>
        <w:t xml:space="preserve">un </w:t>
      </w:r>
      <w:r w:rsidR="004F57E0">
        <w:rPr>
          <w:lang w:eastAsia="ar-SA"/>
        </w:rPr>
        <w:t>34,5</w:t>
      </w:r>
      <w:r w:rsidR="00AA367F">
        <w:rPr>
          <w:lang w:eastAsia="ar-SA"/>
        </w:rPr>
        <w:t>%</w:t>
      </w:r>
      <w:r>
        <w:rPr>
          <w:lang w:eastAsia="ar-SA"/>
        </w:rPr>
        <w:t xml:space="preserve">, </w:t>
      </w:r>
      <w:r w:rsidRPr="00086D34">
        <w:rPr>
          <w:lang w:eastAsia="ar-SA"/>
        </w:rPr>
        <w:t xml:space="preserve">de </w:t>
      </w:r>
      <w:r w:rsidR="00AA367F">
        <w:rPr>
          <w:lang w:eastAsia="ar-SA"/>
        </w:rPr>
        <w:t>57.651.843</w:t>
      </w:r>
      <w:r w:rsidRPr="00086D34">
        <w:rPr>
          <w:lang w:eastAsia="ar-SA"/>
        </w:rPr>
        <w:t xml:space="preserve"> litros en 20</w:t>
      </w:r>
      <w:r w:rsidR="00AA367F">
        <w:rPr>
          <w:lang w:eastAsia="ar-SA"/>
        </w:rPr>
        <w:t>20</w:t>
      </w:r>
      <w:r w:rsidRPr="00086D34">
        <w:rPr>
          <w:lang w:eastAsia="ar-SA"/>
        </w:rPr>
        <w:t xml:space="preserve"> a </w:t>
      </w:r>
      <w:r w:rsidR="004F57E0">
        <w:t xml:space="preserve">37.735.171 </w:t>
      </w:r>
      <w:r w:rsidRPr="00086D34">
        <w:rPr>
          <w:lang w:eastAsia="ar-SA"/>
        </w:rPr>
        <w:t>litros en el 20</w:t>
      </w:r>
      <w:r>
        <w:rPr>
          <w:lang w:eastAsia="ar-SA"/>
        </w:rPr>
        <w:t>2</w:t>
      </w:r>
      <w:r w:rsidR="00AA367F">
        <w:rPr>
          <w:lang w:eastAsia="ar-SA"/>
        </w:rPr>
        <w:t>1</w:t>
      </w:r>
      <w:r w:rsidRPr="00086D34">
        <w:rPr>
          <w:lang w:eastAsia="ar-SA"/>
        </w:rPr>
        <w:t>.</w:t>
      </w:r>
    </w:p>
    <w:bookmarkEnd w:id="7"/>
    <w:bookmarkEnd w:id="9"/>
    <w:p w14:paraId="77F3D681" w14:textId="77777777" w:rsidR="00B2417D" w:rsidRDefault="00B2417D" w:rsidP="00B2417D">
      <w:pPr>
        <w:ind w:left="708"/>
        <w:jc w:val="both"/>
        <w:rPr>
          <w:lang w:eastAsia="ar-SA"/>
        </w:rPr>
      </w:pPr>
    </w:p>
    <w:sectPr w:rsidR="00B2417D">
      <w:pgSz w:w="12250" w:h="15850"/>
      <w:pgMar w:top="1500" w:right="600" w:bottom="1380" w:left="1040" w:header="0" w:footer="1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D5BEB" w14:textId="77777777" w:rsidR="00D65E11" w:rsidRDefault="00D65E11">
      <w:r>
        <w:separator/>
      </w:r>
    </w:p>
  </w:endnote>
  <w:endnote w:type="continuationSeparator" w:id="0">
    <w:p w14:paraId="5CAFEFF1" w14:textId="77777777" w:rsidR="00D65E11" w:rsidRDefault="00D6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D588F" w14:textId="77777777" w:rsidR="00116AE1" w:rsidRDefault="00116A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C0FAC" w14:textId="77777777" w:rsidR="00116AE1" w:rsidRDefault="00116A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F16B0" w14:textId="77777777" w:rsidR="00116AE1" w:rsidRDefault="00116AE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E371A" w14:textId="77777777" w:rsidR="00CE2018" w:rsidRDefault="00CE2018" w:rsidP="00CE2018">
    <w:pPr>
      <w:ind w:left="662" w:right="3380"/>
      <w:rPr>
        <w:rFonts w:ascii="Century Gothic" w:hAnsi="Century Gothic"/>
        <w:b/>
        <w:sz w:val="16"/>
      </w:rPr>
    </w:pPr>
  </w:p>
  <w:p w14:paraId="46893117" w14:textId="77777777" w:rsidR="00CE2018" w:rsidRDefault="00CE2018" w:rsidP="00CE2018">
    <w:pPr>
      <w:ind w:left="662" w:right="3380"/>
      <w:rPr>
        <w:rFonts w:ascii="Century Gothic" w:hAnsi="Century Gothic"/>
        <w:b/>
        <w:sz w:val="16"/>
      </w:rPr>
    </w:pPr>
  </w:p>
  <w:p w14:paraId="47663C29" w14:textId="6E54CEAA" w:rsidR="00CE2018" w:rsidRDefault="00CE2018" w:rsidP="00CE2018">
    <w:pPr>
      <w:ind w:left="662" w:right="3380"/>
      <w:rPr>
        <w:rFonts w:ascii="Century Gothic" w:hAnsi="Century Gothic"/>
        <w:sz w:val="16"/>
      </w:rPr>
    </w:pPr>
    <w:r>
      <w:rPr>
        <w:rFonts w:ascii="Century Gothic" w:hAnsi="Century Gothic"/>
        <w:b/>
        <w:sz w:val="16"/>
      </w:rPr>
      <w:t xml:space="preserve">SERVICIO AGRICOLA Y GANADERO / </w:t>
    </w:r>
    <w:r>
      <w:rPr>
        <w:rFonts w:ascii="Century Gothic" w:hAnsi="Century Gothic"/>
        <w:sz w:val="16"/>
      </w:rPr>
      <w:t>División Protección Agrícola, Forestal y Semillas</w:t>
    </w:r>
  </w:p>
  <w:p w14:paraId="381EBC6C" w14:textId="77777777" w:rsidR="00CE2018" w:rsidRDefault="00CE2018" w:rsidP="00CE2018">
    <w:pPr>
      <w:ind w:left="662" w:right="4135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Subdepartamento de Viñas, Vinos y Bebidas Alcohólicas</w:t>
    </w:r>
  </w:p>
  <w:p w14:paraId="0E2F58AC" w14:textId="77777777" w:rsidR="00CE2018" w:rsidRDefault="00CE2018" w:rsidP="00CE2018">
    <w:pPr>
      <w:ind w:left="662" w:right="3874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Departamento de Regulación y Control de Insumos y Productos Silvoagrícolas Avenida Presidente Bulnes 140, piso 3.</w:t>
    </w:r>
    <w:r>
      <w:rPr>
        <w:rFonts w:ascii="Century Gothic" w:hAnsi="Century Gothic"/>
        <w:spacing w:val="-6"/>
        <w:sz w:val="16"/>
      </w:rPr>
      <w:t xml:space="preserve"> </w:t>
    </w:r>
    <w:r>
      <w:rPr>
        <w:rFonts w:ascii="Century Gothic" w:hAnsi="Century Gothic"/>
        <w:sz w:val="16"/>
      </w:rPr>
      <w:t>Santiago.</w:t>
    </w:r>
  </w:p>
  <w:p w14:paraId="4969855E" w14:textId="77777777" w:rsidR="00CE2018" w:rsidRDefault="00CE2018" w:rsidP="00CE2018">
    <w:pPr>
      <w:ind w:left="662"/>
      <w:rPr>
        <w:rFonts w:ascii="Century Gothic"/>
        <w:sz w:val="16"/>
      </w:rPr>
    </w:pPr>
    <w:r>
      <w:rPr>
        <w:noProof/>
        <w:lang w:val="es-CL" w:eastAsia="es-CL" w:bidi="ar-SA"/>
      </w:rPr>
      <w:drawing>
        <wp:anchor distT="0" distB="0" distL="0" distR="0" simplePos="0" relativeHeight="251659264" behindDoc="0" locked="0" layoutInCell="1" allowOverlap="1" wp14:anchorId="702E3A8A" wp14:editId="3888C6B4">
          <wp:simplePos x="0" y="0"/>
          <wp:positionH relativeFrom="page">
            <wp:posOffset>1080769</wp:posOffset>
          </wp:positionH>
          <wp:positionV relativeFrom="paragraph">
            <wp:posOffset>210527</wp:posOffset>
          </wp:positionV>
          <wp:extent cx="1230135" cy="71247"/>
          <wp:effectExtent l="0" t="0" r="0" b="0"/>
          <wp:wrapTopAndBottom/>
          <wp:docPr id="4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0135" cy="71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/>
        <w:sz w:val="16"/>
      </w:rPr>
      <w:t>Fono:  56-2-23451369 -  E-mail:</w:t>
    </w:r>
    <w:r>
      <w:rPr>
        <w:rFonts w:ascii="Century Gothic"/>
        <w:spacing w:val="-24"/>
        <w:sz w:val="16"/>
      </w:rPr>
      <w:t xml:space="preserve"> </w:t>
    </w:r>
    <w:hyperlink r:id="rId2">
      <w:r>
        <w:rPr>
          <w:rFonts w:ascii="Century Gothic"/>
          <w:sz w:val="16"/>
        </w:rPr>
        <w:t>vinas@sag.gob.cl</w:t>
      </w:r>
    </w:hyperlink>
  </w:p>
  <w:p w14:paraId="1C606A7A" w14:textId="71AA974A" w:rsidR="001433AF" w:rsidRDefault="001433A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53838" w14:textId="77777777" w:rsidR="00D65E11" w:rsidRDefault="00D65E11">
      <w:r>
        <w:separator/>
      </w:r>
    </w:p>
  </w:footnote>
  <w:footnote w:type="continuationSeparator" w:id="0">
    <w:p w14:paraId="0131DC30" w14:textId="77777777" w:rsidR="00D65E11" w:rsidRDefault="00D6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BE7F8" w14:textId="77777777" w:rsidR="00116AE1" w:rsidRDefault="00116A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A708D" w14:textId="77777777" w:rsidR="00116AE1" w:rsidRDefault="00116AE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1E451" w14:textId="77777777" w:rsidR="00116AE1" w:rsidRDefault="00116A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E548F"/>
    <w:multiLevelType w:val="hybridMultilevel"/>
    <w:tmpl w:val="99503D76"/>
    <w:lvl w:ilvl="0" w:tplc="402E824A">
      <w:start w:val="2"/>
      <w:numFmt w:val="lowerLetter"/>
      <w:lvlText w:val="%1)"/>
      <w:lvlJc w:val="left"/>
      <w:pPr>
        <w:ind w:left="1730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s-ES" w:bidi="es-ES"/>
      </w:rPr>
    </w:lvl>
    <w:lvl w:ilvl="1" w:tplc="D3EA5210">
      <w:numFmt w:val="bullet"/>
      <w:lvlText w:val="•"/>
      <w:lvlJc w:val="left"/>
      <w:pPr>
        <w:ind w:left="2626" w:hanging="360"/>
      </w:pPr>
      <w:rPr>
        <w:rFonts w:hint="default"/>
        <w:lang w:val="es-ES" w:eastAsia="es-ES" w:bidi="es-ES"/>
      </w:rPr>
    </w:lvl>
    <w:lvl w:ilvl="2" w:tplc="8B62B240">
      <w:numFmt w:val="bullet"/>
      <w:lvlText w:val="•"/>
      <w:lvlJc w:val="left"/>
      <w:pPr>
        <w:ind w:left="3512" w:hanging="360"/>
      </w:pPr>
      <w:rPr>
        <w:rFonts w:hint="default"/>
        <w:lang w:val="es-ES" w:eastAsia="es-ES" w:bidi="es-ES"/>
      </w:rPr>
    </w:lvl>
    <w:lvl w:ilvl="3" w:tplc="B07C2C28">
      <w:numFmt w:val="bullet"/>
      <w:lvlText w:val="•"/>
      <w:lvlJc w:val="left"/>
      <w:pPr>
        <w:ind w:left="4398" w:hanging="360"/>
      </w:pPr>
      <w:rPr>
        <w:rFonts w:hint="default"/>
        <w:lang w:val="es-ES" w:eastAsia="es-ES" w:bidi="es-ES"/>
      </w:rPr>
    </w:lvl>
    <w:lvl w:ilvl="4" w:tplc="4CC8F76E">
      <w:numFmt w:val="bullet"/>
      <w:lvlText w:val="•"/>
      <w:lvlJc w:val="left"/>
      <w:pPr>
        <w:ind w:left="5284" w:hanging="360"/>
      </w:pPr>
      <w:rPr>
        <w:rFonts w:hint="default"/>
        <w:lang w:val="es-ES" w:eastAsia="es-ES" w:bidi="es-ES"/>
      </w:rPr>
    </w:lvl>
    <w:lvl w:ilvl="5" w:tplc="C1323922">
      <w:numFmt w:val="bullet"/>
      <w:lvlText w:val="•"/>
      <w:lvlJc w:val="left"/>
      <w:pPr>
        <w:ind w:left="6171" w:hanging="360"/>
      </w:pPr>
      <w:rPr>
        <w:rFonts w:hint="default"/>
        <w:lang w:val="es-ES" w:eastAsia="es-ES" w:bidi="es-ES"/>
      </w:rPr>
    </w:lvl>
    <w:lvl w:ilvl="6" w:tplc="52B20A8C">
      <w:numFmt w:val="bullet"/>
      <w:lvlText w:val="•"/>
      <w:lvlJc w:val="left"/>
      <w:pPr>
        <w:ind w:left="7057" w:hanging="360"/>
      </w:pPr>
      <w:rPr>
        <w:rFonts w:hint="default"/>
        <w:lang w:val="es-ES" w:eastAsia="es-ES" w:bidi="es-ES"/>
      </w:rPr>
    </w:lvl>
    <w:lvl w:ilvl="7" w:tplc="14C2B59C">
      <w:numFmt w:val="bullet"/>
      <w:lvlText w:val="•"/>
      <w:lvlJc w:val="left"/>
      <w:pPr>
        <w:ind w:left="7943" w:hanging="360"/>
      </w:pPr>
      <w:rPr>
        <w:rFonts w:hint="default"/>
        <w:lang w:val="es-ES" w:eastAsia="es-ES" w:bidi="es-ES"/>
      </w:rPr>
    </w:lvl>
    <w:lvl w:ilvl="8" w:tplc="B64C2F50">
      <w:numFmt w:val="bullet"/>
      <w:lvlText w:val="•"/>
      <w:lvlJc w:val="left"/>
      <w:pPr>
        <w:ind w:left="8829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15677E0"/>
    <w:multiLevelType w:val="hybridMultilevel"/>
    <w:tmpl w:val="DACC60CC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D10331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F1543EE"/>
    <w:multiLevelType w:val="hybridMultilevel"/>
    <w:tmpl w:val="673CFF3E"/>
    <w:lvl w:ilvl="0" w:tplc="87FC350E">
      <w:start w:val="1"/>
      <w:numFmt w:val="lowerLetter"/>
      <w:lvlText w:val="%1)"/>
      <w:lvlJc w:val="left"/>
      <w:pPr>
        <w:ind w:left="1730" w:hanging="360"/>
        <w:jc w:val="righ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s-ES" w:bidi="es-ES"/>
      </w:rPr>
    </w:lvl>
    <w:lvl w:ilvl="1" w:tplc="A45E24AC">
      <w:numFmt w:val="bullet"/>
      <w:lvlText w:val="•"/>
      <w:lvlJc w:val="left"/>
      <w:pPr>
        <w:ind w:left="2626" w:hanging="360"/>
      </w:pPr>
      <w:rPr>
        <w:rFonts w:hint="default"/>
        <w:lang w:val="es-ES" w:eastAsia="es-ES" w:bidi="es-ES"/>
      </w:rPr>
    </w:lvl>
    <w:lvl w:ilvl="2" w:tplc="33521F04">
      <w:numFmt w:val="bullet"/>
      <w:lvlText w:val="•"/>
      <w:lvlJc w:val="left"/>
      <w:pPr>
        <w:ind w:left="3512" w:hanging="360"/>
      </w:pPr>
      <w:rPr>
        <w:rFonts w:hint="default"/>
        <w:lang w:val="es-ES" w:eastAsia="es-ES" w:bidi="es-ES"/>
      </w:rPr>
    </w:lvl>
    <w:lvl w:ilvl="3" w:tplc="45F2DE1C">
      <w:numFmt w:val="bullet"/>
      <w:lvlText w:val="•"/>
      <w:lvlJc w:val="left"/>
      <w:pPr>
        <w:ind w:left="4398" w:hanging="360"/>
      </w:pPr>
      <w:rPr>
        <w:rFonts w:hint="default"/>
        <w:lang w:val="es-ES" w:eastAsia="es-ES" w:bidi="es-ES"/>
      </w:rPr>
    </w:lvl>
    <w:lvl w:ilvl="4" w:tplc="6FCEB350">
      <w:numFmt w:val="bullet"/>
      <w:lvlText w:val="•"/>
      <w:lvlJc w:val="left"/>
      <w:pPr>
        <w:ind w:left="5284" w:hanging="360"/>
      </w:pPr>
      <w:rPr>
        <w:rFonts w:hint="default"/>
        <w:lang w:val="es-ES" w:eastAsia="es-ES" w:bidi="es-ES"/>
      </w:rPr>
    </w:lvl>
    <w:lvl w:ilvl="5" w:tplc="AAAE3F66">
      <w:numFmt w:val="bullet"/>
      <w:lvlText w:val="•"/>
      <w:lvlJc w:val="left"/>
      <w:pPr>
        <w:ind w:left="6171" w:hanging="360"/>
      </w:pPr>
      <w:rPr>
        <w:rFonts w:hint="default"/>
        <w:lang w:val="es-ES" w:eastAsia="es-ES" w:bidi="es-ES"/>
      </w:rPr>
    </w:lvl>
    <w:lvl w:ilvl="6" w:tplc="77C2B6AC">
      <w:numFmt w:val="bullet"/>
      <w:lvlText w:val="•"/>
      <w:lvlJc w:val="left"/>
      <w:pPr>
        <w:ind w:left="7057" w:hanging="360"/>
      </w:pPr>
      <w:rPr>
        <w:rFonts w:hint="default"/>
        <w:lang w:val="es-ES" w:eastAsia="es-ES" w:bidi="es-ES"/>
      </w:rPr>
    </w:lvl>
    <w:lvl w:ilvl="7" w:tplc="8AB23160">
      <w:numFmt w:val="bullet"/>
      <w:lvlText w:val="•"/>
      <w:lvlJc w:val="left"/>
      <w:pPr>
        <w:ind w:left="7943" w:hanging="360"/>
      </w:pPr>
      <w:rPr>
        <w:rFonts w:hint="default"/>
        <w:lang w:val="es-ES" w:eastAsia="es-ES" w:bidi="es-ES"/>
      </w:rPr>
    </w:lvl>
    <w:lvl w:ilvl="8" w:tplc="9BCA2800">
      <w:numFmt w:val="bullet"/>
      <w:lvlText w:val="•"/>
      <w:lvlJc w:val="left"/>
      <w:pPr>
        <w:ind w:left="8829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AE"/>
    <w:rsid w:val="000144C5"/>
    <w:rsid w:val="0007572D"/>
    <w:rsid w:val="00076156"/>
    <w:rsid w:val="00077F03"/>
    <w:rsid w:val="00087316"/>
    <w:rsid w:val="0009518B"/>
    <w:rsid w:val="000A7129"/>
    <w:rsid w:val="000B6C6D"/>
    <w:rsid w:val="000B6F9E"/>
    <w:rsid w:val="000D2001"/>
    <w:rsid w:val="0010327A"/>
    <w:rsid w:val="00116AE1"/>
    <w:rsid w:val="001433AF"/>
    <w:rsid w:val="00185FAC"/>
    <w:rsid w:val="00196B25"/>
    <w:rsid w:val="001B50EC"/>
    <w:rsid w:val="001C6CB3"/>
    <w:rsid w:val="00242C5F"/>
    <w:rsid w:val="002469EA"/>
    <w:rsid w:val="00263F8E"/>
    <w:rsid w:val="002860DC"/>
    <w:rsid w:val="00295A16"/>
    <w:rsid w:val="002A213D"/>
    <w:rsid w:val="002A56A3"/>
    <w:rsid w:val="002C17DE"/>
    <w:rsid w:val="002F1EA5"/>
    <w:rsid w:val="00303E45"/>
    <w:rsid w:val="00324FE4"/>
    <w:rsid w:val="00340FCB"/>
    <w:rsid w:val="00351D04"/>
    <w:rsid w:val="00360163"/>
    <w:rsid w:val="00365575"/>
    <w:rsid w:val="003765E5"/>
    <w:rsid w:val="003945B6"/>
    <w:rsid w:val="003A3B2B"/>
    <w:rsid w:val="003A7BA2"/>
    <w:rsid w:val="003C5CC7"/>
    <w:rsid w:val="00434D66"/>
    <w:rsid w:val="00474794"/>
    <w:rsid w:val="00487609"/>
    <w:rsid w:val="00491074"/>
    <w:rsid w:val="004A4084"/>
    <w:rsid w:val="004F57E0"/>
    <w:rsid w:val="00503CD0"/>
    <w:rsid w:val="0057278B"/>
    <w:rsid w:val="00593D8F"/>
    <w:rsid w:val="00597F55"/>
    <w:rsid w:val="005A346B"/>
    <w:rsid w:val="005A3B1E"/>
    <w:rsid w:val="0061064F"/>
    <w:rsid w:val="00683132"/>
    <w:rsid w:val="006C6123"/>
    <w:rsid w:val="006D695D"/>
    <w:rsid w:val="006E00A1"/>
    <w:rsid w:val="006E790F"/>
    <w:rsid w:val="006F79CB"/>
    <w:rsid w:val="006F7AEC"/>
    <w:rsid w:val="0077760C"/>
    <w:rsid w:val="00787492"/>
    <w:rsid w:val="007A16C9"/>
    <w:rsid w:val="007A4E85"/>
    <w:rsid w:val="007B2BFF"/>
    <w:rsid w:val="007C6D34"/>
    <w:rsid w:val="008036B8"/>
    <w:rsid w:val="00816EE8"/>
    <w:rsid w:val="00817E5C"/>
    <w:rsid w:val="00835F61"/>
    <w:rsid w:val="0087319A"/>
    <w:rsid w:val="0088117E"/>
    <w:rsid w:val="00897EC1"/>
    <w:rsid w:val="008C3F58"/>
    <w:rsid w:val="008D4C9A"/>
    <w:rsid w:val="008E33EE"/>
    <w:rsid w:val="008F719A"/>
    <w:rsid w:val="0090069E"/>
    <w:rsid w:val="00915112"/>
    <w:rsid w:val="00930954"/>
    <w:rsid w:val="009549A3"/>
    <w:rsid w:val="009559E8"/>
    <w:rsid w:val="00961EB8"/>
    <w:rsid w:val="00996F9D"/>
    <w:rsid w:val="009C13AC"/>
    <w:rsid w:val="009D6CE7"/>
    <w:rsid w:val="009E4712"/>
    <w:rsid w:val="00A26F85"/>
    <w:rsid w:val="00A3004E"/>
    <w:rsid w:val="00A72826"/>
    <w:rsid w:val="00A87D94"/>
    <w:rsid w:val="00AA367F"/>
    <w:rsid w:val="00AD7DAB"/>
    <w:rsid w:val="00AE7908"/>
    <w:rsid w:val="00B20DC7"/>
    <w:rsid w:val="00B2417D"/>
    <w:rsid w:val="00B549EC"/>
    <w:rsid w:val="00B576B6"/>
    <w:rsid w:val="00B60464"/>
    <w:rsid w:val="00B94A03"/>
    <w:rsid w:val="00BD73DA"/>
    <w:rsid w:val="00C04700"/>
    <w:rsid w:val="00C35DAA"/>
    <w:rsid w:val="00C70B61"/>
    <w:rsid w:val="00CA3DD0"/>
    <w:rsid w:val="00CA6DF2"/>
    <w:rsid w:val="00CB6BED"/>
    <w:rsid w:val="00CE2018"/>
    <w:rsid w:val="00CF56AD"/>
    <w:rsid w:val="00D0751C"/>
    <w:rsid w:val="00D47157"/>
    <w:rsid w:val="00D65E11"/>
    <w:rsid w:val="00D7067C"/>
    <w:rsid w:val="00D74536"/>
    <w:rsid w:val="00DA6F76"/>
    <w:rsid w:val="00DC55C6"/>
    <w:rsid w:val="00DC662D"/>
    <w:rsid w:val="00E12E5B"/>
    <w:rsid w:val="00E41B07"/>
    <w:rsid w:val="00E71AEA"/>
    <w:rsid w:val="00E83F34"/>
    <w:rsid w:val="00EA3CA5"/>
    <w:rsid w:val="00EB0D43"/>
    <w:rsid w:val="00EE7B07"/>
    <w:rsid w:val="00F15E7F"/>
    <w:rsid w:val="00F307BB"/>
    <w:rsid w:val="00F40464"/>
    <w:rsid w:val="00F66547"/>
    <w:rsid w:val="00FA01BF"/>
    <w:rsid w:val="00FD04AE"/>
    <w:rsid w:val="00FD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AFAF5"/>
  <w15:docId w15:val="{703D30CD-6252-4979-9D69-A3B52C2E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3132"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37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71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730" w:right="10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8"/>
      <w:ind w:left="81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21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13D"/>
    <w:rPr>
      <w:rFonts w:ascii="Tahoma" w:eastAsia="Verdana" w:hAnsi="Tahoma" w:cs="Tahoma"/>
      <w:sz w:val="16"/>
      <w:szCs w:val="16"/>
      <w:lang w:val="es-ES" w:eastAsia="es-ES" w:bidi="es-ES"/>
    </w:rPr>
  </w:style>
  <w:style w:type="character" w:styleId="Textoennegrita">
    <w:name w:val="Strong"/>
    <w:qFormat/>
    <w:rsid w:val="009D6CE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71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D471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7157"/>
    <w:rPr>
      <w:rFonts w:ascii="Verdana" w:eastAsia="Verdana" w:hAnsi="Verdana" w:cs="Verdan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471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157"/>
    <w:rPr>
      <w:rFonts w:ascii="Verdana" w:eastAsia="Verdana" w:hAnsi="Verdana" w:cs="Verdan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vinas@sag.gob.c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vinas@sag.gob.c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E1156-2387-49EF-964C-4A2675CD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NOT-PROFESOR1</dc:creator>
  <cp:lastModifiedBy>Joaquin Almarza Serrano</cp:lastModifiedBy>
  <cp:revision>22</cp:revision>
  <dcterms:created xsi:type="dcterms:W3CDTF">2021-07-06T16:45:00Z</dcterms:created>
  <dcterms:modified xsi:type="dcterms:W3CDTF">2021-07-08T16:10:00Z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PDFium</vt:lpwstr>
  </property>
  <property fmtid="{D5CDD505-2E9C-101B-9397-08002B2CF9AE}" pid="4" name="LastSaved">
    <vt:filetime>2020-06-22T00:00:00Z</vt:filetime>
  </property>
</Properties>
</file>